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C90E" w14:textId="77777777" w:rsidR="00CF6D73" w:rsidRPr="001524AC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>Информация по результатам</w:t>
      </w:r>
    </w:p>
    <w:p w14:paraId="59C3E4AB" w14:textId="7F0251E4" w:rsidR="00F33BA5" w:rsidRPr="001524AC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 xml:space="preserve">изучения мнения учащихся и учителей о качестве учебного пособия </w:t>
      </w:r>
      <w:r w:rsidR="005106C0" w:rsidRPr="001524AC">
        <w:rPr>
          <w:rFonts w:eastAsia="Calibri" w:cs="Times New Roman"/>
          <w:b/>
          <w:bCs/>
          <w:color w:val="auto"/>
          <w:szCs w:val="28"/>
        </w:rPr>
        <w:t>«</w:t>
      </w:r>
      <w:r w:rsidR="005106C0" w:rsidRPr="001524AC">
        <w:rPr>
          <w:rFonts w:eastAsia="Calibri" w:cs="Times New Roman"/>
          <w:b/>
          <w:bCs/>
          <w:color w:val="auto"/>
          <w:szCs w:val="28"/>
          <w:lang w:val="be-BY"/>
        </w:rPr>
        <w:t>География. Социально-экономическая география мира</w:t>
      </w:r>
      <w:r w:rsidR="005106C0" w:rsidRPr="001524AC">
        <w:rPr>
          <w:rFonts w:eastAsia="Calibri" w:cs="Times New Roman"/>
          <w:b/>
          <w:bCs/>
          <w:color w:val="auto"/>
          <w:szCs w:val="28"/>
        </w:rPr>
        <w:t xml:space="preserve">» </w:t>
      </w:r>
      <w:r w:rsidRPr="001524AC">
        <w:rPr>
          <w:rFonts w:cs="Times New Roman"/>
          <w:b/>
          <w:color w:val="auto"/>
          <w:szCs w:val="28"/>
        </w:rPr>
        <w:t>для X</w:t>
      </w:r>
      <w:r w:rsidR="005106C0" w:rsidRPr="001524AC">
        <w:rPr>
          <w:rFonts w:cs="Times New Roman"/>
          <w:b/>
          <w:color w:val="auto"/>
          <w:szCs w:val="28"/>
        </w:rPr>
        <w:t> </w:t>
      </w:r>
      <w:r w:rsidRPr="001524AC">
        <w:rPr>
          <w:rFonts w:cs="Times New Roman"/>
          <w:b/>
          <w:color w:val="auto"/>
          <w:szCs w:val="28"/>
        </w:rPr>
        <w:t xml:space="preserve">класса учреждений общего среднего </w:t>
      </w:r>
      <w:r w:rsidR="00F33BA5" w:rsidRPr="001524AC">
        <w:rPr>
          <w:rFonts w:cs="Times New Roman"/>
          <w:b/>
          <w:color w:val="auto"/>
          <w:szCs w:val="28"/>
        </w:rPr>
        <w:t xml:space="preserve">образования </w:t>
      </w:r>
    </w:p>
    <w:p w14:paraId="4B285202" w14:textId="64B026B9" w:rsidR="00CF6D73" w:rsidRPr="001524AC" w:rsidRDefault="00F33BA5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 xml:space="preserve">авторов </w:t>
      </w:r>
      <w:r w:rsidR="005106C0" w:rsidRPr="001524AC">
        <w:rPr>
          <w:rFonts w:eastAsia="Calibri" w:cs="Times New Roman"/>
          <w:b/>
          <w:bCs/>
          <w:color w:val="auto"/>
          <w:szCs w:val="28"/>
          <w:lang w:val="be-BY"/>
        </w:rPr>
        <w:t>Е.А. Антиповой, О.Н. Гузовой</w:t>
      </w:r>
    </w:p>
    <w:p w14:paraId="64DEE10E" w14:textId="44057299" w:rsidR="00CF6D73" w:rsidRPr="001524AC" w:rsidRDefault="00CF6D73" w:rsidP="00CF6D73">
      <w:pPr>
        <w:rPr>
          <w:rFonts w:cs="Times New Roman"/>
          <w:color w:val="auto"/>
          <w:szCs w:val="28"/>
        </w:rPr>
      </w:pPr>
    </w:p>
    <w:p w14:paraId="30F64D7E" w14:textId="5FE086A7" w:rsidR="005106C0" w:rsidRPr="001524AC" w:rsidRDefault="00A225B6" w:rsidP="005106C0">
      <w:pPr>
        <w:ind w:firstLine="708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72B8DE85" wp14:editId="0A106887">
            <wp:simplePos x="0" y="0"/>
            <wp:positionH relativeFrom="column">
              <wp:posOffset>4196715</wp:posOffset>
            </wp:positionH>
            <wp:positionV relativeFrom="paragraph">
              <wp:posOffset>5715</wp:posOffset>
            </wp:positionV>
            <wp:extent cx="1764030" cy="2295525"/>
            <wp:effectExtent l="0" t="0" r="7620" b="9525"/>
            <wp:wrapTight wrapText="bothSides">
              <wp:wrapPolygon edited="0"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A5" w:rsidRPr="001524AC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F19DD11" wp14:editId="3E42A340">
            <wp:simplePos x="0" y="0"/>
            <wp:positionH relativeFrom="column">
              <wp:posOffset>4196715</wp:posOffset>
            </wp:positionH>
            <wp:positionV relativeFrom="paragraph">
              <wp:posOffset>10160</wp:posOffset>
            </wp:positionV>
            <wp:extent cx="1771650" cy="2395855"/>
            <wp:effectExtent l="0" t="0" r="0" b="4445"/>
            <wp:wrapTight wrapText="bothSides">
              <wp:wrapPolygon edited="0">
                <wp:start x="0" y="0"/>
                <wp:lineTo x="0" y="21468"/>
                <wp:lineTo x="21368" y="21468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C0" w:rsidRPr="001524AC">
        <w:rPr>
          <w:rFonts w:eastAsia="Calibri" w:cs="Times New Roman"/>
          <w:color w:val="auto"/>
          <w:szCs w:val="28"/>
        </w:rPr>
        <w:t xml:space="preserve">В мае 2021 года Национальный институт образования с целью изучения мнений участников образовательного процесса о новом учебном пособии </w:t>
      </w:r>
      <w:r w:rsidRPr="001524AC">
        <w:rPr>
          <w:rFonts w:eastAsia="Calibri" w:cs="Times New Roman"/>
          <w:color w:val="auto"/>
          <w:szCs w:val="28"/>
        </w:rPr>
        <w:t>по географии</w:t>
      </w:r>
      <w:r w:rsidR="005106C0" w:rsidRPr="001524AC">
        <w:rPr>
          <w:rFonts w:eastAsia="Calibri" w:cs="Times New Roman"/>
          <w:color w:val="auto"/>
          <w:szCs w:val="28"/>
        </w:rPr>
        <w:t xml:space="preserve"> для Х класса провёл анонимное онлайн-анкетирование.</w:t>
      </w:r>
    </w:p>
    <w:p w14:paraId="7407B8BB" w14:textId="77777777" w:rsidR="005106C0" w:rsidRPr="001524AC" w:rsidRDefault="005106C0" w:rsidP="005106C0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В анкетировании приняли участие 371 учитель, 2135 учащихся.</w:t>
      </w:r>
    </w:p>
    <w:p w14:paraId="44AC8EB4" w14:textId="38BF326E" w:rsidR="00374936" w:rsidRPr="001524AC" w:rsidRDefault="00374936" w:rsidP="00374936">
      <w:pPr>
        <w:rPr>
          <w:rFonts w:eastAsia="Calibri" w:cs="Times New Roman"/>
          <w:color w:val="auto"/>
          <w:szCs w:val="28"/>
          <w:lang w:val="be-BY"/>
        </w:rPr>
      </w:pPr>
      <w:r w:rsidRPr="001524AC">
        <w:rPr>
          <w:rFonts w:eastAsia="Calibri" w:cs="Times New Roman"/>
          <w:color w:val="auto"/>
          <w:szCs w:val="28"/>
        </w:rPr>
        <w:t xml:space="preserve">Среди участников анкетирования представители учреждений образования, находящихся в городских населенных пунктах (70,2% учащихся; 52,6% учителей) и сельской местности (29,8% учащихся; </w:t>
      </w:r>
      <w:r w:rsidRPr="001524AC">
        <w:rPr>
          <w:rFonts w:eastAsia="Calibri" w:cs="Times New Roman"/>
          <w:color w:val="auto"/>
        </w:rPr>
        <w:t xml:space="preserve">47,4% </w:t>
      </w:r>
      <w:r w:rsidRPr="001524AC">
        <w:rPr>
          <w:rFonts w:eastAsia="Calibri" w:cs="Times New Roman"/>
          <w:color w:val="auto"/>
          <w:szCs w:val="28"/>
        </w:rPr>
        <w:t>учителей).</w:t>
      </w:r>
      <w:r w:rsidRPr="001524AC">
        <w:rPr>
          <w:rFonts w:eastAsia="Calibri" w:cs="Times New Roman"/>
          <w:color w:val="auto"/>
          <w:szCs w:val="28"/>
          <w:lang w:val="be-BY"/>
        </w:rPr>
        <w:t xml:space="preserve"> </w:t>
      </w:r>
    </w:p>
    <w:p w14:paraId="2000C2FE" w14:textId="77777777" w:rsidR="00374936" w:rsidRPr="001524AC" w:rsidRDefault="00374936" w:rsidP="00374936">
      <w:pPr>
        <w:rPr>
          <w:rFonts w:eastAsia="Calibri" w:cs="Times New Roman"/>
          <w:color w:val="auto"/>
        </w:rPr>
      </w:pPr>
      <w:r w:rsidRPr="001524AC">
        <w:rPr>
          <w:rFonts w:eastAsia="Calibri" w:cs="Times New Roman"/>
          <w:color w:val="auto"/>
        </w:rPr>
        <w:t>В анкетировании приняли участие учителя, имеющие различные квалификационные категории; большинство – первую и высшую (39,9% и 37,7% соответственно):</w:t>
      </w:r>
    </w:p>
    <w:p w14:paraId="43B2E6B2" w14:textId="77777777" w:rsidR="000A5AF9" w:rsidRPr="001524AC" w:rsidRDefault="000A5AF9" w:rsidP="00CF6D73">
      <w:pPr>
        <w:rPr>
          <w:color w:val="auto"/>
        </w:rPr>
      </w:pPr>
    </w:p>
    <w:p w14:paraId="41490D9C" w14:textId="522AB9E9" w:rsidR="00CF6D73" w:rsidRPr="001524AC" w:rsidRDefault="00B44AD6" w:rsidP="00B44AD6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1D7DB26E" wp14:editId="6445311A">
            <wp:extent cx="5457825" cy="17716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9BF66F" w14:textId="77777777" w:rsidR="00B44AD6" w:rsidRPr="001524AC" w:rsidRDefault="00B44AD6" w:rsidP="00CF6D73">
      <w:pPr>
        <w:rPr>
          <w:color w:val="auto"/>
        </w:rPr>
      </w:pPr>
    </w:p>
    <w:p w14:paraId="3C49D538" w14:textId="77777777" w:rsidR="00CF6D73" w:rsidRPr="001524AC" w:rsidRDefault="00CF6D73" w:rsidP="00CF6D73">
      <w:pPr>
        <w:rPr>
          <w:color w:val="auto"/>
        </w:rPr>
      </w:pPr>
      <w:r w:rsidRPr="001524AC">
        <w:rPr>
          <w:color w:val="auto"/>
        </w:rPr>
        <w:t>Анализ результатов анкетирования позволил сделать следующие выводы.</w:t>
      </w:r>
    </w:p>
    <w:p w14:paraId="77859776" w14:textId="40103760" w:rsidR="00956131" w:rsidRPr="001524AC" w:rsidRDefault="00CF6D73" w:rsidP="00956131">
      <w:pPr>
        <w:rPr>
          <w:rFonts w:cs="Times New Roman"/>
          <w:color w:val="auto"/>
          <w:szCs w:val="28"/>
        </w:rPr>
      </w:pPr>
      <w:r w:rsidRPr="001524AC">
        <w:rPr>
          <w:rFonts w:cs="Times New Roman"/>
          <w:color w:val="auto"/>
          <w:szCs w:val="28"/>
        </w:rPr>
        <w:t xml:space="preserve">В целом учителя и учащиеся положительно оценивают новое учебное пособие. </w:t>
      </w:r>
      <w:r w:rsidR="009504CE" w:rsidRPr="001524AC">
        <w:rPr>
          <w:rFonts w:cs="Times New Roman"/>
          <w:color w:val="auto"/>
          <w:szCs w:val="28"/>
        </w:rPr>
        <w:t>70</w:t>
      </w:r>
      <w:r w:rsidR="00F33BA5" w:rsidRPr="001524AC">
        <w:rPr>
          <w:rFonts w:cs="Times New Roman"/>
          <w:color w:val="auto"/>
          <w:szCs w:val="28"/>
        </w:rPr>
        <w:t>% учащихся ответили, что им интересно изучать учебный предмет с помощью нового учебного пособия.</w:t>
      </w:r>
      <w:r w:rsidR="0053748E" w:rsidRPr="001524AC">
        <w:rPr>
          <w:rFonts w:cs="Times New Roman"/>
          <w:color w:val="auto"/>
          <w:szCs w:val="28"/>
        </w:rPr>
        <w:t xml:space="preserve"> </w:t>
      </w:r>
      <w:r w:rsidR="009504CE" w:rsidRPr="001524AC">
        <w:rPr>
          <w:rFonts w:cs="Times New Roman"/>
          <w:color w:val="auto"/>
          <w:szCs w:val="28"/>
        </w:rPr>
        <w:t>55,3</w:t>
      </w:r>
      <w:r w:rsidR="00956131" w:rsidRPr="001524AC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3E22ED97" w:rsidR="00A3798B" w:rsidRPr="001524AC" w:rsidRDefault="00A3798B" w:rsidP="00A3798B">
      <w:pPr>
        <w:ind w:firstLine="708"/>
        <w:rPr>
          <w:color w:val="auto"/>
          <w:szCs w:val="28"/>
        </w:rPr>
      </w:pPr>
      <w:r w:rsidRPr="001524AC">
        <w:rPr>
          <w:noProof/>
          <w:color w:val="auto"/>
          <w:szCs w:val="28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9504CE" w:rsidRPr="001524AC">
        <w:rPr>
          <w:noProof/>
          <w:color w:val="auto"/>
          <w:szCs w:val="28"/>
        </w:rPr>
        <w:t>71,2</w:t>
      </w:r>
      <w:r w:rsidRPr="001524AC">
        <w:rPr>
          <w:noProof/>
          <w:color w:val="auto"/>
          <w:szCs w:val="28"/>
        </w:rPr>
        <w:t xml:space="preserve">%, воспитательная – </w:t>
      </w:r>
      <w:r w:rsidR="009504CE" w:rsidRPr="001524AC">
        <w:rPr>
          <w:noProof/>
          <w:color w:val="auto"/>
          <w:szCs w:val="28"/>
        </w:rPr>
        <w:t>58</w:t>
      </w:r>
      <w:r w:rsidRPr="001524AC">
        <w:rPr>
          <w:noProof/>
          <w:color w:val="auto"/>
          <w:szCs w:val="28"/>
        </w:rPr>
        <w:t xml:space="preserve">%, развивающая – </w:t>
      </w:r>
      <w:r w:rsidR="009504CE" w:rsidRPr="001524AC">
        <w:rPr>
          <w:noProof/>
          <w:color w:val="auto"/>
          <w:szCs w:val="28"/>
        </w:rPr>
        <w:t>73</w:t>
      </w:r>
      <w:r w:rsidRPr="001524AC">
        <w:rPr>
          <w:noProof/>
          <w:color w:val="auto"/>
          <w:szCs w:val="28"/>
        </w:rPr>
        <w:t>% и мотивационная функци</w:t>
      </w:r>
      <w:r w:rsidR="00BD392A" w:rsidRPr="001524AC">
        <w:rPr>
          <w:noProof/>
          <w:color w:val="auto"/>
          <w:szCs w:val="28"/>
        </w:rPr>
        <w:t>я</w:t>
      </w:r>
      <w:r w:rsidRPr="001524AC">
        <w:rPr>
          <w:noProof/>
          <w:color w:val="auto"/>
          <w:szCs w:val="28"/>
        </w:rPr>
        <w:t xml:space="preserve"> – </w:t>
      </w:r>
      <w:r w:rsidR="001A1BC7" w:rsidRPr="001524AC">
        <w:rPr>
          <w:noProof/>
          <w:color w:val="auto"/>
          <w:szCs w:val="28"/>
        </w:rPr>
        <w:t>5</w:t>
      </w:r>
      <w:r w:rsidR="009504CE" w:rsidRPr="001524AC">
        <w:rPr>
          <w:noProof/>
          <w:color w:val="auto"/>
          <w:szCs w:val="28"/>
        </w:rPr>
        <w:t>3</w:t>
      </w:r>
      <w:r w:rsidRPr="001524AC">
        <w:rPr>
          <w:noProof/>
          <w:color w:val="auto"/>
          <w:szCs w:val="28"/>
        </w:rPr>
        <w:t>% педагогов</w:t>
      </w:r>
      <w:r w:rsidRPr="001524AC">
        <w:rPr>
          <w:color w:val="auto"/>
          <w:szCs w:val="28"/>
        </w:rPr>
        <w:t>.</w:t>
      </w:r>
    </w:p>
    <w:p w14:paraId="2500A11D" w14:textId="77777777" w:rsidR="00A3798B" w:rsidRPr="001524AC" w:rsidRDefault="00A3798B" w:rsidP="00A3798B">
      <w:pPr>
        <w:jc w:val="center"/>
        <w:rPr>
          <w:rFonts w:cs="Times New Roman"/>
          <w:color w:val="auto"/>
          <w:szCs w:val="28"/>
        </w:rPr>
      </w:pPr>
    </w:p>
    <w:p w14:paraId="2431AA82" w14:textId="77777777" w:rsidR="00CF6D73" w:rsidRPr="001524AC" w:rsidRDefault="00E139F7" w:rsidP="0053748E">
      <w:pPr>
        <w:ind w:hanging="142"/>
        <w:jc w:val="center"/>
        <w:rPr>
          <w:rFonts w:cs="Times New Roman"/>
          <w:color w:val="auto"/>
          <w:szCs w:val="28"/>
        </w:rPr>
      </w:pPr>
      <w:r w:rsidRPr="001524AC">
        <w:rPr>
          <w:noProof/>
          <w:color w:val="auto"/>
          <w:szCs w:val="28"/>
        </w:rPr>
        <w:lastRenderedPageBreak/>
        <w:drawing>
          <wp:inline distT="0" distB="0" distL="0" distR="0" wp14:anchorId="10B496D9" wp14:editId="5817F00B">
            <wp:extent cx="6048375" cy="28765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66EFF5" w14:textId="77777777" w:rsidR="00CF6D73" w:rsidRPr="001524AC" w:rsidRDefault="00CF6D73" w:rsidP="00CF6D73">
      <w:pPr>
        <w:rPr>
          <w:rFonts w:cs="Times New Roman"/>
          <w:color w:val="auto"/>
          <w:szCs w:val="28"/>
        </w:rPr>
      </w:pPr>
    </w:p>
    <w:p w14:paraId="28103C5C" w14:textId="14C87C07" w:rsidR="00CF6D73" w:rsidRPr="001524AC" w:rsidRDefault="009504CE" w:rsidP="00CF6D73">
      <w:pPr>
        <w:rPr>
          <w:color w:val="auto"/>
        </w:rPr>
      </w:pPr>
      <w:r w:rsidRPr="001524AC">
        <w:rPr>
          <w:color w:val="auto"/>
        </w:rPr>
        <w:t>76,3</w:t>
      </w:r>
      <w:r w:rsidR="00CF6D73" w:rsidRPr="001524AC">
        <w:rPr>
          <w:color w:val="auto"/>
        </w:rPr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11E84B4C" w14:textId="77777777" w:rsidR="0064095E" w:rsidRPr="001524AC" w:rsidRDefault="0064095E" w:rsidP="0064095E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0BA2C345" wp14:editId="29571B68">
            <wp:extent cx="5029200" cy="25527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9D6D17" w14:textId="77777777" w:rsidR="00CF6D73" w:rsidRPr="001524AC" w:rsidRDefault="00CF6D73" w:rsidP="00CF6D73">
      <w:pPr>
        <w:jc w:val="center"/>
        <w:rPr>
          <w:color w:val="auto"/>
        </w:rPr>
      </w:pPr>
    </w:p>
    <w:p w14:paraId="0D6ED3F7" w14:textId="5D6FE54A" w:rsidR="00CF6D73" w:rsidRPr="001524AC" w:rsidRDefault="002349DE" w:rsidP="00CF6D73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8</w:t>
      </w:r>
      <w:r w:rsidR="005A27F0" w:rsidRPr="001524AC">
        <w:rPr>
          <w:rFonts w:eastAsia="Calibri" w:cs="Times New Roman"/>
          <w:color w:val="auto"/>
          <w:szCs w:val="28"/>
        </w:rPr>
        <w:t>9,2</w:t>
      </w:r>
      <w:r w:rsidR="00CF6D73" w:rsidRPr="001524AC">
        <w:rPr>
          <w:rFonts w:eastAsia="Calibri" w:cs="Times New Roman"/>
          <w:color w:val="auto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Pr="001524AC">
        <w:rPr>
          <w:rFonts w:eastAsia="Calibri" w:cs="Times New Roman"/>
          <w:color w:val="auto"/>
          <w:szCs w:val="28"/>
        </w:rPr>
        <w:t xml:space="preserve"> (ответы «да», «скорее да, чем нет»)</w:t>
      </w:r>
      <w:r w:rsidR="00CF6D73" w:rsidRPr="001524AC">
        <w:rPr>
          <w:rFonts w:eastAsia="Calibri" w:cs="Times New Roman"/>
          <w:color w:val="auto"/>
          <w:szCs w:val="28"/>
        </w:rPr>
        <w:t>.</w:t>
      </w:r>
    </w:p>
    <w:p w14:paraId="6FC65E94" w14:textId="6D78F7A8" w:rsidR="00CF6D73" w:rsidRPr="001524AC" w:rsidRDefault="00CF6D73" w:rsidP="00CF6D73">
      <w:pPr>
        <w:rPr>
          <w:color w:val="auto"/>
        </w:rPr>
      </w:pPr>
      <w:r w:rsidRPr="001524AC">
        <w:rPr>
          <w:color w:val="auto"/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53748E" w:rsidRPr="001524AC">
        <w:rPr>
          <w:color w:val="auto"/>
          <w:szCs w:val="28"/>
        </w:rPr>
        <w:t>географии</w:t>
      </w:r>
      <w:r w:rsidRPr="001524AC">
        <w:rPr>
          <w:color w:val="auto"/>
          <w:szCs w:val="28"/>
        </w:rPr>
        <w:t xml:space="preserve">. Так, </w:t>
      </w:r>
      <w:r w:rsidR="005A27F0" w:rsidRPr="001524AC">
        <w:rPr>
          <w:color w:val="auto"/>
          <w:szCs w:val="28"/>
        </w:rPr>
        <w:t>82,7</w:t>
      </w:r>
      <w:r w:rsidRPr="001524AC">
        <w:rPr>
          <w:color w:val="auto"/>
          <w:szCs w:val="28"/>
        </w:rPr>
        <w:t>%</w:t>
      </w:r>
      <w:r w:rsidRPr="001524AC">
        <w:rPr>
          <w:color w:val="auto"/>
        </w:rPr>
        <w:t xml:space="preserve"> педагогов ответили, что учебные тексты изложены доступно для учащихся</w:t>
      </w:r>
      <w:r w:rsidR="00EA6D13" w:rsidRPr="001524AC">
        <w:rPr>
          <w:color w:val="auto"/>
        </w:rPr>
        <w:t>;</w:t>
      </w:r>
      <w:r w:rsidRPr="001524AC">
        <w:rPr>
          <w:color w:val="auto"/>
        </w:rPr>
        <w:t xml:space="preserve"> </w:t>
      </w:r>
      <w:r w:rsidR="005A27F0" w:rsidRPr="001524AC">
        <w:rPr>
          <w:color w:val="auto"/>
          <w:szCs w:val="28"/>
        </w:rPr>
        <w:t>82,7</w:t>
      </w:r>
      <w:r w:rsidRPr="001524AC">
        <w:rPr>
          <w:color w:val="auto"/>
          <w:szCs w:val="28"/>
        </w:rPr>
        <w:t>%</w:t>
      </w:r>
      <w:r w:rsidRPr="001524AC">
        <w:rPr>
          <w:color w:val="auto"/>
        </w:rPr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 w:rsidRPr="001524AC">
        <w:rPr>
          <w:color w:val="auto"/>
        </w:rPr>
        <w:t>;</w:t>
      </w:r>
      <w:r w:rsidRPr="001524AC">
        <w:rPr>
          <w:color w:val="auto"/>
        </w:rPr>
        <w:t xml:space="preserve"> </w:t>
      </w:r>
      <w:r w:rsidR="005A27F0" w:rsidRPr="001524AC">
        <w:rPr>
          <w:color w:val="auto"/>
        </w:rPr>
        <w:t>81,9</w:t>
      </w:r>
      <w:r w:rsidRPr="001524AC">
        <w:rPr>
          <w:color w:val="auto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28274848" w14:textId="77777777" w:rsidR="00EA6D13" w:rsidRPr="001524AC" w:rsidRDefault="00EA6D13" w:rsidP="00EA6D13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lastRenderedPageBreak/>
        <w:drawing>
          <wp:inline distT="0" distB="0" distL="0" distR="0" wp14:anchorId="2A1FC7C1" wp14:editId="2F1C13D5">
            <wp:extent cx="6076950" cy="24003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0CB705" w14:textId="4BDD82CD" w:rsidR="00CF6D73" w:rsidRPr="001524AC" w:rsidRDefault="00CF6D73" w:rsidP="00CF6D73">
      <w:pPr>
        <w:rPr>
          <w:color w:val="auto"/>
        </w:rPr>
      </w:pPr>
      <w:r w:rsidRPr="001524AC">
        <w:rPr>
          <w:color w:val="auto"/>
        </w:rPr>
        <w:t>По мнению учителей, учебное пособие позволяет учить учащихся интегрировать информацию, полученную из разных источников (9</w:t>
      </w:r>
      <w:r w:rsidR="009D1106" w:rsidRPr="001524AC">
        <w:rPr>
          <w:color w:val="auto"/>
        </w:rPr>
        <w:t>3,5</w:t>
      </w:r>
      <w:r w:rsidRPr="001524AC">
        <w:rPr>
          <w:color w:val="auto"/>
        </w:rPr>
        <w:t>%), применять усвоенные знания и умения для решения учебных и практических задач (</w:t>
      </w:r>
      <w:r w:rsidR="009D1106" w:rsidRPr="001524AC">
        <w:rPr>
          <w:color w:val="auto"/>
        </w:rPr>
        <w:t>88,4</w:t>
      </w:r>
      <w:r w:rsidRPr="001524AC">
        <w:rPr>
          <w:color w:val="auto"/>
        </w:rPr>
        <w:t>%), интегрировать и применять знания из различных учебных предметов (</w:t>
      </w:r>
      <w:r w:rsidR="003A0C70" w:rsidRPr="001524AC">
        <w:rPr>
          <w:color w:val="auto"/>
        </w:rPr>
        <w:t>8</w:t>
      </w:r>
      <w:r w:rsidR="009D1106" w:rsidRPr="001524AC">
        <w:rPr>
          <w:color w:val="auto"/>
        </w:rPr>
        <w:t>8,2</w:t>
      </w:r>
      <w:r w:rsidRPr="001524AC">
        <w:rPr>
          <w:color w:val="auto"/>
        </w:rPr>
        <w:t>%), работать с учебным текстом (ответы «да, в полной мере», «скорее да, чем нет»).</w:t>
      </w:r>
    </w:p>
    <w:p w14:paraId="19B929B5" w14:textId="77777777" w:rsidR="003A0C70" w:rsidRPr="001524AC" w:rsidRDefault="003A0C70" w:rsidP="003A0C70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29FC660B" wp14:editId="4BE4977B">
            <wp:extent cx="5486400" cy="21717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791E1BE" w14:textId="77777777" w:rsidR="00CF6D73" w:rsidRPr="001524AC" w:rsidRDefault="00CF6D73" w:rsidP="00CF6D73">
      <w:pPr>
        <w:rPr>
          <w:color w:val="auto"/>
        </w:rPr>
      </w:pPr>
    </w:p>
    <w:p w14:paraId="328E309B" w14:textId="5F234506" w:rsidR="00CF6D73" w:rsidRPr="001524AC" w:rsidRDefault="009D1106" w:rsidP="00CF6D73">
      <w:pPr>
        <w:rPr>
          <w:color w:val="auto"/>
        </w:rPr>
      </w:pPr>
      <w:r w:rsidRPr="001524AC">
        <w:rPr>
          <w:color w:val="auto"/>
        </w:rPr>
        <w:t>61,8</w:t>
      </w:r>
      <w:r w:rsidR="00CF6D73" w:rsidRPr="001524AC">
        <w:rPr>
          <w:color w:val="auto"/>
        </w:rPr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 w:rsidR="003E6A02" w:rsidRPr="001524AC">
        <w:rPr>
          <w:color w:val="auto"/>
        </w:rPr>
        <w:t>48,5</w:t>
      </w:r>
      <w:r w:rsidR="00CF6D73" w:rsidRPr="001524AC">
        <w:rPr>
          <w:color w:val="auto"/>
        </w:rPr>
        <w:t>%), пяти уровням усвоения учебного материала (</w:t>
      </w:r>
      <w:r w:rsidR="003E6A02" w:rsidRPr="001524AC">
        <w:rPr>
          <w:color w:val="auto"/>
        </w:rPr>
        <w:t>59</w:t>
      </w:r>
      <w:r w:rsidR="00CF6D73" w:rsidRPr="001524AC">
        <w:rPr>
          <w:color w:val="auto"/>
        </w:rPr>
        <w:t>%).</w:t>
      </w:r>
    </w:p>
    <w:p w14:paraId="13EB8A72" w14:textId="77777777" w:rsidR="00362966" w:rsidRPr="001524AC" w:rsidRDefault="00362966" w:rsidP="00362966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62414C64" wp14:editId="42E9E6C3">
            <wp:extent cx="5486400" cy="22098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AEC9D" w14:textId="6430229D" w:rsidR="00CF6D73" w:rsidRPr="001524AC" w:rsidRDefault="00CF6D73" w:rsidP="00CF6D73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lastRenderedPageBreak/>
        <w:t>Вместе с тем, учащиеся отмечают, что им не всегда понятны в новом учебном пособии тексты параграфов (</w:t>
      </w:r>
      <w:r w:rsidR="003E6A02" w:rsidRPr="001524AC">
        <w:rPr>
          <w:rFonts w:eastAsia="Calibri" w:cs="Times New Roman"/>
          <w:color w:val="auto"/>
          <w:szCs w:val="28"/>
        </w:rPr>
        <w:t>32,2</w:t>
      </w:r>
      <w:r w:rsidRPr="001524AC">
        <w:rPr>
          <w:rFonts w:eastAsia="Calibri" w:cs="Times New Roman"/>
          <w:color w:val="auto"/>
          <w:szCs w:val="28"/>
        </w:rPr>
        <w:t>%), определения понятий (</w:t>
      </w:r>
      <w:r w:rsidR="003E6A02" w:rsidRPr="001524AC">
        <w:rPr>
          <w:rFonts w:eastAsia="Calibri" w:cs="Times New Roman"/>
          <w:color w:val="auto"/>
          <w:szCs w:val="28"/>
        </w:rPr>
        <w:t>40,1</w:t>
      </w:r>
      <w:r w:rsidRPr="001524AC">
        <w:rPr>
          <w:rFonts w:eastAsia="Calibri" w:cs="Times New Roman"/>
          <w:color w:val="auto"/>
          <w:szCs w:val="28"/>
        </w:rPr>
        <w:t>%), таблицы</w:t>
      </w:r>
      <w:r w:rsidR="0046376D" w:rsidRPr="001524AC">
        <w:rPr>
          <w:rFonts w:eastAsia="Calibri" w:cs="Times New Roman"/>
          <w:color w:val="auto"/>
          <w:szCs w:val="28"/>
        </w:rPr>
        <w:t xml:space="preserve">, </w:t>
      </w:r>
      <w:r w:rsidRPr="001524AC">
        <w:rPr>
          <w:rFonts w:eastAsia="Calibri" w:cs="Times New Roman"/>
          <w:color w:val="auto"/>
          <w:szCs w:val="28"/>
        </w:rPr>
        <w:t>схемы</w:t>
      </w:r>
      <w:r w:rsidR="0046376D" w:rsidRPr="001524AC">
        <w:rPr>
          <w:rFonts w:eastAsia="Calibri" w:cs="Times New Roman"/>
          <w:color w:val="auto"/>
          <w:szCs w:val="28"/>
        </w:rPr>
        <w:t>, диаграммы</w:t>
      </w:r>
      <w:r w:rsidRPr="001524AC">
        <w:rPr>
          <w:rFonts w:eastAsia="Calibri" w:cs="Times New Roman"/>
          <w:color w:val="auto"/>
          <w:szCs w:val="28"/>
        </w:rPr>
        <w:t xml:space="preserve"> (</w:t>
      </w:r>
      <w:r w:rsidR="0046376D" w:rsidRPr="001524AC">
        <w:rPr>
          <w:rFonts w:eastAsia="Calibri" w:cs="Times New Roman"/>
          <w:color w:val="auto"/>
          <w:szCs w:val="28"/>
        </w:rPr>
        <w:t>22,4</w:t>
      </w:r>
      <w:r w:rsidRPr="001524AC">
        <w:rPr>
          <w:rFonts w:eastAsia="Calibri" w:cs="Times New Roman"/>
          <w:color w:val="auto"/>
          <w:szCs w:val="28"/>
        </w:rPr>
        <w:t xml:space="preserve">%), </w:t>
      </w:r>
      <w:r w:rsidR="0046376D" w:rsidRPr="001524AC">
        <w:rPr>
          <w:rFonts w:eastAsia="Calibri" w:cs="Times New Roman"/>
          <w:color w:val="auto"/>
          <w:szCs w:val="28"/>
        </w:rPr>
        <w:t>шрифтовые и цветовые выделения в тексте</w:t>
      </w:r>
      <w:r w:rsidRPr="001524AC">
        <w:rPr>
          <w:rFonts w:eastAsia="Calibri" w:cs="Times New Roman"/>
          <w:color w:val="auto"/>
          <w:szCs w:val="28"/>
        </w:rPr>
        <w:t xml:space="preserve"> (</w:t>
      </w:r>
      <w:r w:rsidR="0046376D" w:rsidRPr="001524AC">
        <w:rPr>
          <w:rFonts w:eastAsia="Calibri" w:cs="Times New Roman"/>
          <w:color w:val="auto"/>
          <w:szCs w:val="28"/>
        </w:rPr>
        <w:t>19,3</w:t>
      </w:r>
      <w:r w:rsidRPr="001524AC">
        <w:rPr>
          <w:rFonts w:eastAsia="Calibri" w:cs="Times New Roman"/>
          <w:color w:val="auto"/>
          <w:szCs w:val="28"/>
        </w:rPr>
        <w:t>%)</w:t>
      </w:r>
      <w:r w:rsidR="00910562" w:rsidRPr="001524AC">
        <w:rPr>
          <w:rFonts w:eastAsia="Calibri" w:cs="Times New Roman"/>
          <w:color w:val="auto"/>
          <w:szCs w:val="28"/>
        </w:rPr>
        <w:t xml:space="preserve">, </w:t>
      </w:r>
      <w:r w:rsidR="0046376D" w:rsidRPr="001524AC">
        <w:rPr>
          <w:rFonts w:eastAsia="Calibri" w:cs="Times New Roman"/>
          <w:color w:val="auto"/>
          <w:szCs w:val="28"/>
        </w:rPr>
        <w:t xml:space="preserve">маркеры с вопросами и заданиями в тексте </w:t>
      </w:r>
      <w:r w:rsidR="00910562" w:rsidRPr="001524AC">
        <w:rPr>
          <w:rFonts w:eastAsia="Calibri" w:cs="Times New Roman"/>
          <w:color w:val="auto"/>
          <w:szCs w:val="28"/>
        </w:rPr>
        <w:t>(</w:t>
      </w:r>
      <w:r w:rsidR="0046376D" w:rsidRPr="001524AC">
        <w:rPr>
          <w:rFonts w:eastAsia="Calibri" w:cs="Times New Roman"/>
          <w:color w:val="auto"/>
          <w:szCs w:val="28"/>
        </w:rPr>
        <w:t>30,5</w:t>
      </w:r>
      <w:r w:rsidR="00910562" w:rsidRPr="001524AC">
        <w:rPr>
          <w:rFonts w:eastAsia="Calibri" w:cs="Times New Roman"/>
          <w:color w:val="auto"/>
          <w:szCs w:val="28"/>
        </w:rPr>
        <w:t>%)</w:t>
      </w:r>
      <w:r w:rsidRPr="001524AC">
        <w:rPr>
          <w:rFonts w:eastAsia="Calibri" w:cs="Times New Roman"/>
          <w:color w:val="auto"/>
          <w:szCs w:val="28"/>
        </w:rPr>
        <w:t>.</w:t>
      </w:r>
    </w:p>
    <w:p w14:paraId="25ACD7F3" w14:textId="77777777" w:rsidR="00FF6825" w:rsidRPr="001524AC" w:rsidRDefault="00FF6825" w:rsidP="00CF6D73">
      <w:pPr>
        <w:rPr>
          <w:rFonts w:eastAsia="Calibri" w:cs="Times New Roman"/>
          <w:color w:val="auto"/>
          <w:szCs w:val="28"/>
        </w:rPr>
      </w:pPr>
    </w:p>
    <w:p w14:paraId="5FC41B86" w14:textId="77777777" w:rsidR="00910562" w:rsidRPr="001524AC" w:rsidRDefault="00910562" w:rsidP="00910562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53550303">
            <wp:extent cx="5486400" cy="20955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10A5372" w14:textId="77777777" w:rsidR="00FF6825" w:rsidRPr="001524AC" w:rsidRDefault="00FF6825" w:rsidP="003C20C1">
      <w:pPr>
        <w:rPr>
          <w:rFonts w:cs="Times New Roman"/>
          <w:color w:val="auto"/>
          <w:spacing w:val="2"/>
          <w:shd w:val="clear" w:color="auto" w:fill="FFFFFF"/>
        </w:rPr>
      </w:pPr>
    </w:p>
    <w:p w14:paraId="640126AA" w14:textId="12AF1020" w:rsidR="00140033" w:rsidRPr="001524AC" w:rsidRDefault="00140033" w:rsidP="003C20C1">
      <w:pPr>
        <w:rPr>
          <w:rFonts w:cs="Times New Roman"/>
          <w:color w:val="auto"/>
          <w:spacing w:val="2"/>
          <w:shd w:val="clear" w:color="auto" w:fill="FFFFFF"/>
        </w:rPr>
      </w:pPr>
      <w:r w:rsidRPr="001524AC">
        <w:rPr>
          <w:rFonts w:cs="Times New Roman"/>
          <w:color w:val="auto"/>
          <w:spacing w:val="2"/>
          <w:shd w:val="clear" w:color="auto" w:fill="FFFFFF"/>
        </w:rPr>
        <w:t>На вопрос «Участвовали ли Вы в работе над мини-проектами по темам, предложенным в учебном пособии «География. Социально-экономическая география мира. 10 класс»?» 29,6% учащихся ответили «да, я участвовал в работе над мини-проектом в группе», 17,7% учащихся подготовили мини-проект индивидуально, 29,6% опрашиваемы</w:t>
      </w:r>
      <w:r w:rsidR="00FF6825" w:rsidRPr="001524AC">
        <w:rPr>
          <w:rFonts w:cs="Times New Roman"/>
          <w:color w:val="auto"/>
          <w:spacing w:val="2"/>
          <w:shd w:val="clear" w:color="auto" w:fill="FFFFFF"/>
        </w:rPr>
        <w:t>х</w:t>
      </w:r>
      <w:r w:rsidRPr="001524AC">
        <w:rPr>
          <w:rFonts w:cs="Times New Roman"/>
          <w:color w:val="auto"/>
          <w:spacing w:val="2"/>
          <w:shd w:val="clear" w:color="auto" w:fill="FFFFFF"/>
        </w:rPr>
        <w:t xml:space="preserve"> неинтересны мини-проекты по учебному предмету «География», 23,7% учащи</w:t>
      </w:r>
      <w:r w:rsidR="00FF6825" w:rsidRPr="001524AC">
        <w:rPr>
          <w:rFonts w:cs="Times New Roman"/>
          <w:color w:val="auto"/>
          <w:spacing w:val="2"/>
          <w:shd w:val="clear" w:color="auto" w:fill="FFFFFF"/>
        </w:rPr>
        <w:t>х</w:t>
      </w:r>
      <w:r w:rsidRPr="001524AC">
        <w:rPr>
          <w:rFonts w:cs="Times New Roman"/>
          <w:color w:val="auto"/>
          <w:spacing w:val="2"/>
          <w:shd w:val="clear" w:color="auto" w:fill="FFFFFF"/>
        </w:rPr>
        <w:t>ся не предлагали выполнять задания по мини-проектам.</w:t>
      </w:r>
    </w:p>
    <w:p w14:paraId="7B8B049E" w14:textId="64A6B807" w:rsidR="00172D7F" w:rsidRPr="001524AC" w:rsidRDefault="00172D7F" w:rsidP="00172D7F">
      <w:pPr>
        <w:rPr>
          <w:rFonts w:eastAsia="Calibri" w:cs="Times New Roman"/>
          <w:color w:val="auto"/>
          <w:szCs w:val="28"/>
        </w:rPr>
      </w:pPr>
      <w:bookmarkStart w:id="0" w:name="_Hlk89354990"/>
      <w:r w:rsidRPr="001524AC">
        <w:rPr>
          <w:rFonts w:eastAsia="Calibri" w:cs="Times New Roman"/>
          <w:color w:val="auto"/>
          <w:szCs w:val="28"/>
        </w:rPr>
        <w:t>Учителя</w:t>
      </w:r>
      <w:r w:rsidR="00680C68" w:rsidRPr="001524AC">
        <w:rPr>
          <w:rFonts w:eastAsia="Calibri" w:cs="Times New Roman"/>
          <w:color w:val="auto"/>
          <w:szCs w:val="28"/>
        </w:rPr>
        <w:t xml:space="preserve"> </w:t>
      </w:r>
      <w:r w:rsidRPr="001524AC">
        <w:rPr>
          <w:rFonts w:eastAsia="Calibri" w:cs="Times New Roman"/>
          <w:color w:val="auto"/>
          <w:szCs w:val="28"/>
        </w:rPr>
        <w:t xml:space="preserve">достаточно высоко оценили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е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приложени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для повышенного уровня изучения учебного предмета (profil.adu.by).</w:t>
      </w:r>
      <w:r w:rsidR="00FF6825"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1524AC">
        <w:rPr>
          <w:rFonts w:eastAsia="Calibri" w:cs="Times New Roman"/>
          <w:color w:val="auto"/>
          <w:szCs w:val="28"/>
        </w:rPr>
        <w:t>что материалы приложения обеспечива</w:t>
      </w:r>
      <w:r w:rsidR="003B18D7" w:rsidRPr="001524AC">
        <w:rPr>
          <w:rFonts w:eastAsia="Calibri" w:cs="Times New Roman"/>
          <w:color w:val="auto"/>
          <w:szCs w:val="28"/>
        </w:rPr>
        <w:t>ю</w:t>
      </w:r>
      <w:r w:rsidRPr="001524AC">
        <w:rPr>
          <w:rFonts w:eastAsia="Calibri" w:cs="Times New Roman"/>
          <w:color w:val="auto"/>
          <w:szCs w:val="28"/>
        </w:rPr>
        <w:t>т реализацию познавательных возможностей учащихся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FF6825" w:rsidRPr="001524AC">
        <w:rPr>
          <w:rFonts w:eastAsia="Calibri" w:cs="Times New Roman"/>
          <w:color w:val="auto"/>
          <w:szCs w:val="28"/>
        </w:rPr>
        <w:t>73,4%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 xml:space="preserve">, </w:t>
      </w:r>
      <w:r w:rsidR="003B18D7" w:rsidRPr="001524AC">
        <w:rPr>
          <w:rFonts w:eastAsia="Calibri" w:cs="Times New Roman"/>
          <w:color w:val="auto"/>
          <w:szCs w:val="28"/>
        </w:rPr>
        <w:t xml:space="preserve">соответствуют </w:t>
      </w:r>
      <w:r w:rsidRPr="001524AC">
        <w:rPr>
          <w:rFonts w:eastAsia="Calibri" w:cs="Times New Roman"/>
          <w:color w:val="auto"/>
          <w:szCs w:val="28"/>
        </w:rPr>
        <w:t>пяти уровням усвоения учебного материала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FF6825" w:rsidRPr="001524AC">
        <w:rPr>
          <w:rFonts w:eastAsia="Calibri" w:cs="Times New Roman"/>
          <w:color w:val="auto"/>
          <w:szCs w:val="28"/>
        </w:rPr>
        <w:t>65,2%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 xml:space="preserve">, </w:t>
      </w:r>
      <w:r w:rsidR="003B18D7" w:rsidRPr="001524AC">
        <w:rPr>
          <w:rFonts w:eastAsia="Calibri" w:cs="Times New Roman"/>
          <w:color w:val="auto"/>
          <w:szCs w:val="28"/>
        </w:rPr>
        <w:t xml:space="preserve">дают возможность проработать материал при </w:t>
      </w:r>
      <w:r w:rsidRPr="001524AC">
        <w:rPr>
          <w:rFonts w:eastAsia="Calibri" w:cs="Times New Roman"/>
          <w:color w:val="auto"/>
          <w:szCs w:val="28"/>
        </w:rPr>
        <w:t>подготовк</w:t>
      </w:r>
      <w:r w:rsidR="003B18D7" w:rsidRPr="001524AC">
        <w:rPr>
          <w:rFonts w:eastAsia="Calibri" w:cs="Times New Roman"/>
          <w:color w:val="auto"/>
          <w:szCs w:val="28"/>
        </w:rPr>
        <w:t>е</w:t>
      </w:r>
      <w:r w:rsidRPr="001524AC">
        <w:rPr>
          <w:rFonts w:eastAsia="Calibri" w:cs="Times New Roman"/>
          <w:color w:val="auto"/>
          <w:szCs w:val="28"/>
        </w:rPr>
        <w:t xml:space="preserve"> к олимпиаде, научно-исследовательской и проектной деятельности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FF6825" w:rsidRPr="001524AC">
        <w:rPr>
          <w:rFonts w:eastAsia="Calibri" w:cs="Times New Roman"/>
          <w:color w:val="auto"/>
          <w:szCs w:val="28"/>
        </w:rPr>
        <w:t>61,5%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>,</w:t>
      </w:r>
      <w:r w:rsidR="001524AC">
        <w:rPr>
          <w:rFonts w:eastAsia="Calibri" w:cs="Times New Roman"/>
          <w:color w:val="auto"/>
          <w:szCs w:val="28"/>
        </w:rPr>
        <w:t xml:space="preserve"> обеспечивают</w:t>
      </w:r>
      <w:r w:rsidRPr="001524AC">
        <w:rPr>
          <w:rFonts w:eastAsia="Calibri" w:cs="Times New Roman"/>
          <w:color w:val="auto"/>
          <w:szCs w:val="28"/>
        </w:rPr>
        <w:t xml:space="preserve"> возможность организовать самостоятельную работу учащихся (в группах и индивидуально)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FF6825" w:rsidRPr="001524AC">
        <w:rPr>
          <w:rFonts w:eastAsia="Calibri" w:cs="Times New Roman"/>
          <w:color w:val="auto"/>
          <w:szCs w:val="28"/>
        </w:rPr>
        <w:t>66,8%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="001524AC">
        <w:rPr>
          <w:rFonts w:eastAsia="Calibri" w:cs="Times New Roman"/>
          <w:color w:val="auto"/>
          <w:szCs w:val="28"/>
        </w:rPr>
        <w:t xml:space="preserve"> (</w:t>
      </w:r>
      <w:r w:rsidRPr="001524AC">
        <w:rPr>
          <w:rFonts w:eastAsia="Calibri" w:cs="Times New Roman"/>
          <w:color w:val="auto"/>
          <w:szCs w:val="28"/>
        </w:rPr>
        <w:t xml:space="preserve"> </w:t>
      </w:r>
      <w:r w:rsidRPr="001524AC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).</w:t>
      </w:r>
    </w:p>
    <w:bookmarkEnd w:id="0"/>
    <w:p w14:paraId="6D7BBDE8" w14:textId="34A8D7BF" w:rsidR="003B18D7" w:rsidRPr="001524AC" w:rsidRDefault="00172D7F" w:rsidP="003B18D7">
      <w:pPr>
        <w:ind w:firstLine="0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noProof/>
          <w:color w:val="auto"/>
          <w:szCs w:val="28"/>
          <w:lang w:eastAsia="ru-RU"/>
        </w:rPr>
        <w:lastRenderedPageBreak/>
        <w:drawing>
          <wp:inline distT="0" distB="0" distL="0" distR="0" wp14:anchorId="158D7D39" wp14:editId="54A9255B">
            <wp:extent cx="5762625" cy="28956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49E2D082-9617-4D05-B482-D6DBBA80E4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62BAC19E" w:rsidR="00D056CD" w:rsidRPr="001524AC" w:rsidRDefault="004256E7" w:rsidP="005224C8">
      <w:pPr>
        <w:ind w:firstLine="708"/>
        <w:rPr>
          <w:rFonts w:cs="Times New Roman"/>
          <w:color w:val="auto"/>
          <w:sz w:val="18"/>
          <w:szCs w:val="18"/>
        </w:rPr>
      </w:pPr>
      <w:r w:rsidRPr="001524AC">
        <w:rPr>
          <w:rFonts w:eastAsia="Calibri" w:cs="Times New Roman"/>
          <w:color w:val="auto"/>
          <w:szCs w:val="28"/>
        </w:rPr>
        <w:t>Распределение ответов учащихся</w:t>
      </w:r>
      <w:r w:rsidR="005224C8" w:rsidRPr="001524AC">
        <w:rPr>
          <w:rFonts w:eastAsia="Calibri" w:cs="Times New Roman"/>
          <w:color w:val="auto"/>
          <w:szCs w:val="28"/>
        </w:rPr>
        <w:t>,</w:t>
      </w:r>
      <w:r w:rsidRPr="001524AC">
        <w:rPr>
          <w:rFonts w:eastAsia="Calibri" w:cs="Times New Roman"/>
          <w:color w:val="auto"/>
          <w:szCs w:val="28"/>
        </w:rPr>
        <w:t xml:space="preserve"> изучающих </w:t>
      </w:r>
      <w:r w:rsidR="005224C8" w:rsidRPr="001524AC">
        <w:rPr>
          <w:rFonts w:eastAsia="Calibri" w:cs="Times New Roman"/>
          <w:color w:val="auto"/>
          <w:szCs w:val="28"/>
        </w:rPr>
        <w:t>географию</w:t>
      </w:r>
      <w:r w:rsidRPr="001524AC">
        <w:rPr>
          <w:rFonts w:eastAsia="Calibri" w:cs="Times New Roman"/>
          <w:color w:val="auto"/>
          <w:szCs w:val="28"/>
        </w:rPr>
        <w:t xml:space="preserve"> на повышенном уровне, на вопрос «Интересно ли Вам изучать учебный предмет на повышенном уровне, используя электронное приложение</w:t>
      </w:r>
      <w:r w:rsidR="00506C60" w:rsidRPr="001524AC">
        <w:rPr>
          <w:rFonts w:eastAsia="Calibri" w:cs="Times New Roman"/>
          <w:color w:val="auto"/>
          <w:szCs w:val="28"/>
        </w:rPr>
        <w:t>, размещенное</w:t>
      </w:r>
      <w:r w:rsidRPr="001524AC">
        <w:rPr>
          <w:rFonts w:eastAsia="Calibri" w:cs="Times New Roman"/>
          <w:color w:val="auto"/>
          <w:szCs w:val="28"/>
        </w:rPr>
        <w:t xml:space="preserve"> на profil.adu.by?» следующее:</w:t>
      </w:r>
      <w:r w:rsidR="00EA6F96" w:rsidRPr="001524AC">
        <w:rPr>
          <w:rFonts w:eastAsia="Calibri" w:cs="Times New Roman"/>
          <w:color w:val="auto"/>
          <w:szCs w:val="28"/>
        </w:rPr>
        <w:t xml:space="preserve"> </w:t>
      </w:r>
      <w:r w:rsidR="005224C8" w:rsidRPr="001524AC">
        <w:rPr>
          <w:rFonts w:eastAsia="Calibri" w:cs="Times New Roman"/>
          <w:color w:val="auto"/>
          <w:szCs w:val="28"/>
        </w:rPr>
        <w:t>57,5</w:t>
      </w:r>
      <w:r w:rsidR="00D056CD" w:rsidRPr="001524AC">
        <w:rPr>
          <w:rFonts w:eastAsia="Calibri" w:cs="Times New Roman"/>
          <w:color w:val="auto"/>
          <w:szCs w:val="28"/>
        </w:rPr>
        <w:t>% учащи</w:t>
      </w:r>
      <w:r w:rsidR="009160DA" w:rsidRPr="001524AC">
        <w:rPr>
          <w:rFonts w:eastAsia="Calibri" w:cs="Times New Roman"/>
          <w:color w:val="auto"/>
          <w:szCs w:val="28"/>
        </w:rPr>
        <w:t>х</w:t>
      </w:r>
      <w:r w:rsidR="00D056CD" w:rsidRPr="001524AC">
        <w:rPr>
          <w:rFonts w:eastAsia="Calibri" w:cs="Times New Roman"/>
          <w:color w:val="auto"/>
          <w:szCs w:val="28"/>
        </w:rPr>
        <w:t>ся</w:t>
      </w:r>
      <w:r w:rsidR="00D056CD" w:rsidRPr="001524AC">
        <w:rPr>
          <w:rFonts w:cs="Times New Roman"/>
          <w:color w:val="auto"/>
          <w:szCs w:val="28"/>
        </w:rPr>
        <w:t xml:space="preserve"> интересны разнообразные задания по каждой теме, выполнение которых позволяет лучше усвоить учебный материал,</w:t>
      </w:r>
      <w:r w:rsidR="005224C8" w:rsidRPr="001524AC">
        <w:rPr>
          <w:rFonts w:cs="Times New Roman"/>
          <w:color w:val="auto"/>
          <w:szCs w:val="28"/>
        </w:rPr>
        <w:t>13,3</w:t>
      </w:r>
      <w:r w:rsidR="00D056CD" w:rsidRPr="001524AC">
        <w:rPr>
          <w:rFonts w:cs="Times New Roman"/>
          <w:color w:val="auto"/>
          <w:szCs w:val="28"/>
        </w:rPr>
        <w:t xml:space="preserve">% учащихся использует электронное приложение к подготовке к олимпиаде по </w:t>
      </w:r>
      <w:r w:rsidR="005224C8" w:rsidRPr="001524AC">
        <w:rPr>
          <w:rFonts w:cs="Times New Roman"/>
          <w:color w:val="auto"/>
          <w:szCs w:val="28"/>
        </w:rPr>
        <w:t>географии</w:t>
      </w:r>
      <w:r w:rsidR="00D056CD" w:rsidRPr="001524AC">
        <w:rPr>
          <w:rFonts w:cs="Times New Roman"/>
          <w:color w:val="auto"/>
          <w:szCs w:val="28"/>
        </w:rPr>
        <w:t xml:space="preserve">, для </w:t>
      </w:r>
      <w:r w:rsidR="005224C8" w:rsidRPr="001524AC">
        <w:rPr>
          <w:rFonts w:cs="Times New Roman"/>
          <w:color w:val="auto"/>
          <w:szCs w:val="28"/>
        </w:rPr>
        <w:t>36,9</w:t>
      </w:r>
      <w:r w:rsidR="00D056CD" w:rsidRPr="001524AC">
        <w:rPr>
          <w:rFonts w:cs="Times New Roman"/>
          <w:color w:val="auto"/>
          <w:szCs w:val="28"/>
        </w:rPr>
        <w:t xml:space="preserve">% учащихся задания на повышенном уровне слишком сложные; а для </w:t>
      </w:r>
      <w:r w:rsidR="005224C8" w:rsidRPr="001524AC">
        <w:rPr>
          <w:rFonts w:cs="Times New Roman"/>
          <w:color w:val="auto"/>
          <w:szCs w:val="28"/>
        </w:rPr>
        <w:t>8,5</w:t>
      </w:r>
      <w:r w:rsidR="00D056CD" w:rsidRPr="001524AC">
        <w:rPr>
          <w:rFonts w:cs="Times New Roman"/>
          <w:color w:val="auto"/>
          <w:szCs w:val="28"/>
        </w:rPr>
        <w:t>% – задания на повышенном уровне слишком простые</w:t>
      </w:r>
    </w:p>
    <w:p w14:paraId="0CB8EA60" w14:textId="77777777" w:rsidR="00CF6D73" w:rsidRPr="001524AC" w:rsidRDefault="00CF6D73" w:rsidP="00D056CD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0266BBB8" w14:textId="21FE3474" w:rsidR="005224C8" w:rsidRPr="001524AC" w:rsidRDefault="00BD392A" w:rsidP="005224C8">
      <w:pPr>
        <w:shd w:val="clear" w:color="auto" w:fill="FFFFFF"/>
        <w:spacing w:line="300" w:lineRule="atLeast"/>
        <w:rPr>
          <w:rFonts w:ascii="Arial" w:eastAsia="Calibri" w:hAnsi="Arial" w:cs="Arial"/>
          <w:color w:val="auto"/>
          <w:spacing w:val="3"/>
          <w:sz w:val="21"/>
          <w:szCs w:val="21"/>
        </w:rPr>
      </w:pPr>
      <w:r w:rsidRPr="001524AC">
        <w:rPr>
          <w:rFonts w:eastAsia="Times New Roman" w:cs="Times New Roman"/>
          <w:color w:val="auto"/>
          <w:szCs w:val="24"/>
          <w:lang w:eastAsia="ru-RU"/>
        </w:rPr>
        <w:t>в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се устраивает / полностью удовлетворяет / не нуждается в улучшении /</w:t>
      </w:r>
      <w:r w:rsidR="001524A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ничего не надо менять</w:t>
      </w:r>
      <w:r w:rsidR="001524A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/ хорошее пособие/ сложный материал изложен доступным для учащихся языком / учебное пособие устраивает учащихся и учителя</w:t>
      </w:r>
      <w:r w:rsidR="001524A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/ (45,5%);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</w:p>
    <w:p w14:paraId="3A3C24C3" w14:textId="302F0648" w:rsidR="005224C8" w:rsidRPr="001524AC" w:rsidRDefault="00BD392A" w:rsidP="005224C8">
      <w:pPr>
        <w:shd w:val="clear" w:color="auto" w:fill="FFFFFF"/>
        <w:spacing w:line="300" w:lineRule="atLeast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pacing w:val="3"/>
          <w:szCs w:val="28"/>
        </w:rPr>
        <w:t>у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простить / напечатать более доступным языком / материал текстов сделать более доступным для всех учащихся / уменьшить и упростить учебный материал / материал подан в большом объеме / облегчить язык текста</w:t>
      </w:r>
      <w:r w:rsidR="001524AC">
        <w:rPr>
          <w:rFonts w:eastAsia="Calibri" w:cs="Times New Roman"/>
          <w:color w:val="auto"/>
          <w:spacing w:val="3"/>
          <w:szCs w:val="28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/ (36,6%);</w:t>
      </w:r>
    </w:p>
    <w:p w14:paraId="305B190C" w14:textId="785E1773" w:rsidR="005224C8" w:rsidRPr="001524AC" w:rsidRDefault="00BD392A" w:rsidP="005224C8">
      <w:pPr>
        <w:ind w:firstLine="708"/>
        <w:rPr>
          <w:rFonts w:eastAsia="Calibri" w:cs="Times New Roman"/>
          <w:color w:val="auto"/>
        </w:rPr>
      </w:pPr>
      <w:r w:rsidRPr="001524AC">
        <w:rPr>
          <w:rFonts w:eastAsia="Calibri" w:cs="Times New Roman"/>
          <w:color w:val="auto"/>
        </w:rPr>
        <w:t>у</w:t>
      </w:r>
      <w:r w:rsidR="005224C8" w:rsidRPr="001524AC">
        <w:rPr>
          <w:rFonts w:eastAsia="Calibri" w:cs="Times New Roman"/>
          <w:color w:val="auto"/>
        </w:rPr>
        <w:t xml:space="preserve">величить количество разноуровневых заданий / </w:t>
      </w:r>
      <w:r w:rsidR="005224C8" w:rsidRPr="001524AC">
        <w:rPr>
          <w:rFonts w:eastAsia="Calibri" w:cs="Times New Roman"/>
          <w:color w:val="auto"/>
          <w:spacing w:val="3"/>
          <w:szCs w:val="28"/>
          <w:shd w:val="clear" w:color="auto" w:fill="F8F9FA"/>
        </w:rPr>
        <w:t xml:space="preserve">больше схем и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таблиц</w:t>
      </w:r>
      <w:r w:rsidR="00506C60" w:rsidRPr="001524AC">
        <w:rPr>
          <w:rFonts w:eastAsia="Calibri" w:cs="Times New Roman"/>
          <w:color w:val="auto"/>
        </w:rPr>
        <w:t> </w:t>
      </w:r>
      <w:r w:rsidR="005224C8" w:rsidRPr="001524AC">
        <w:rPr>
          <w:rFonts w:eastAsia="Calibri" w:cs="Times New Roman"/>
          <w:color w:val="auto"/>
        </w:rPr>
        <w:t xml:space="preserve">/ </w:t>
      </w:r>
      <w:r w:rsidR="005224C8" w:rsidRPr="001524AC">
        <w:rPr>
          <w:rFonts w:eastAsia="Calibri" w:cs="Times New Roman"/>
          <w:color w:val="auto"/>
          <w:szCs w:val="28"/>
        </w:rPr>
        <w:t>б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ольше графической информации</w:t>
      </w:r>
      <w:r w:rsidR="005224C8" w:rsidRPr="001524AC">
        <w:rPr>
          <w:rFonts w:eastAsia="Calibri" w:cs="Times New Roman"/>
          <w:color w:val="auto"/>
        </w:rPr>
        <w:t xml:space="preserve"> /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добавить иллюстрации</w:t>
      </w:r>
      <w:r w:rsidR="005224C8" w:rsidRPr="001524AC">
        <w:rPr>
          <w:rFonts w:eastAsia="Calibri" w:cs="Times New Roman"/>
          <w:color w:val="auto"/>
        </w:rPr>
        <w:t xml:space="preserve"> /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больше картографического материала</w:t>
      </w:r>
      <w:r w:rsidRPr="001524AC">
        <w:rPr>
          <w:rFonts w:eastAsia="Calibri" w:cs="Times New Roman"/>
          <w:color w:val="auto"/>
          <w:spacing w:val="3"/>
          <w:szCs w:val="28"/>
        </w:rPr>
        <w:t xml:space="preserve">,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интересных фактов и примеров из мировой экономики</w:t>
      </w:r>
      <w:r w:rsidR="005224C8" w:rsidRPr="001524AC">
        <w:rPr>
          <w:rFonts w:eastAsia="Calibri" w:cs="Times New Roman"/>
          <w:color w:val="auto"/>
        </w:rPr>
        <w:t xml:space="preserve"> /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больше практических заданий разного уровня</w:t>
      </w:r>
      <w:r w:rsidR="005224C8" w:rsidRPr="001524AC">
        <w:rPr>
          <w:rFonts w:eastAsia="Calibri" w:cs="Times New Roman"/>
          <w:color w:val="auto"/>
        </w:rPr>
        <w:t xml:space="preserve"> (15,3%)</w:t>
      </w:r>
      <w:r w:rsidR="001524AC">
        <w:rPr>
          <w:rFonts w:eastAsia="Calibri" w:cs="Times New Roman"/>
          <w:color w:val="auto"/>
        </w:rPr>
        <w:t>.</w:t>
      </w:r>
    </w:p>
    <w:p w14:paraId="12E2F83D" w14:textId="100AD821" w:rsidR="00CF6D73" w:rsidRPr="001524AC" w:rsidRDefault="00CF6D73" w:rsidP="00D056CD">
      <w:pPr>
        <w:rPr>
          <w:color w:val="auto"/>
        </w:rPr>
      </w:pPr>
      <w:r w:rsidRPr="001524AC">
        <w:rPr>
          <w:color w:val="auto"/>
        </w:rPr>
        <w:t>Результаты анкетирования</w:t>
      </w:r>
      <w:r w:rsidR="00506C60" w:rsidRPr="001524AC">
        <w:rPr>
          <w:color w:val="auto"/>
        </w:rPr>
        <w:t xml:space="preserve"> </w:t>
      </w:r>
      <w:r w:rsidRPr="001524AC">
        <w:rPr>
          <w:color w:val="auto"/>
        </w:rPr>
        <w:t xml:space="preserve">рассмотрены </w:t>
      </w:r>
      <w:r w:rsidR="001524AC" w:rsidRPr="00F322A3">
        <w:t>на заседании</w:t>
      </w:r>
      <w:r w:rsidR="001524AC">
        <w:t xml:space="preserve"> Научно-методическо</w:t>
      </w:r>
      <w:r w:rsidR="001524AC">
        <w:rPr>
          <w:lang w:val="be-BY"/>
        </w:rPr>
        <w:t>го</w:t>
      </w:r>
      <w:r w:rsidR="001524AC">
        <w:t xml:space="preserve"> совет</w:t>
      </w:r>
      <w:r w:rsidR="001524AC">
        <w:rPr>
          <w:lang w:val="be-BY"/>
        </w:rPr>
        <w:t xml:space="preserve">а Национального института образования, </w:t>
      </w:r>
      <w:bookmarkStart w:id="1" w:name="_GoBack"/>
      <w:bookmarkEnd w:id="1"/>
      <w:r w:rsidRPr="001524AC">
        <w:rPr>
          <w:color w:val="auto"/>
        </w:rPr>
        <w:t xml:space="preserve">секции </w:t>
      </w:r>
      <w:r w:rsidR="005224C8" w:rsidRPr="001524AC">
        <w:rPr>
          <w:color w:val="auto"/>
        </w:rPr>
        <w:t>географии и картографии</w:t>
      </w:r>
      <w:r w:rsidRPr="001524AC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1524AC">
        <w:rPr>
          <w:color w:val="auto"/>
        </w:rPr>
        <w:t xml:space="preserve">обсуждены с авторским коллективом и будут </w:t>
      </w:r>
      <w:r w:rsidRPr="001524AC">
        <w:rPr>
          <w:color w:val="auto"/>
        </w:rPr>
        <w:t xml:space="preserve">учтены при переиздании </w:t>
      </w:r>
      <w:r w:rsidR="00506C60" w:rsidRPr="001524AC">
        <w:rPr>
          <w:color w:val="auto"/>
        </w:rPr>
        <w:t xml:space="preserve">учебного </w:t>
      </w:r>
      <w:r w:rsidRPr="001524AC">
        <w:rPr>
          <w:color w:val="auto"/>
        </w:rPr>
        <w:t xml:space="preserve">пособия. </w:t>
      </w:r>
    </w:p>
    <w:p w14:paraId="2859FBB3" w14:textId="77777777" w:rsidR="00A16F4B" w:rsidRPr="001524AC" w:rsidRDefault="00A16F4B">
      <w:pPr>
        <w:rPr>
          <w:color w:val="auto"/>
        </w:rPr>
      </w:pPr>
    </w:p>
    <w:sectPr w:rsidR="00A16F4B" w:rsidRPr="001524AC" w:rsidSect="003B18D7">
      <w:footerReference w:type="default" r:id="rId18"/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A8C4" w14:textId="77777777" w:rsidR="00A87BD7" w:rsidRDefault="00A87BD7" w:rsidP="00820B18">
      <w:r>
        <w:separator/>
      </w:r>
    </w:p>
  </w:endnote>
  <w:endnote w:type="continuationSeparator" w:id="0">
    <w:p w14:paraId="6E7A7619" w14:textId="77777777" w:rsidR="00A87BD7" w:rsidRDefault="00A87BD7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FC94" w14:textId="77777777" w:rsidR="00A87BD7" w:rsidRDefault="00A87BD7" w:rsidP="00820B18">
      <w:r>
        <w:separator/>
      </w:r>
    </w:p>
  </w:footnote>
  <w:footnote w:type="continuationSeparator" w:id="0">
    <w:p w14:paraId="77CCA6D2" w14:textId="77777777" w:rsidR="00A87BD7" w:rsidRDefault="00A87BD7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A5AF9"/>
    <w:rsid w:val="00140033"/>
    <w:rsid w:val="00151D43"/>
    <w:rsid w:val="001524AC"/>
    <w:rsid w:val="0015529A"/>
    <w:rsid w:val="00172190"/>
    <w:rsid w:val="00172D7F"/>
    <w:rsid w:val="001A1BC7"/>
    <w:rsid w:val="001C61CF"/>
    <w:rsid w:val="002349DE"/>
    <w:rsid w:val="002D48DA"/>
    <w:rsid w:val="002E49E4"/>
    <w:rsid w:val="003035A3"/>
    <w:rsid w:val="00346191"/>
    <w:rsid w:val="00362966"/>
    <w:rsid w:val="00374936"/>
    <w:rsid w:val="003A0C70"/>
    <w:rsid w:val="003B18D7"/>
    <w:rsid w:val="003C20C1"/>
    <w:rsid w:val="003C4F82"/>
    <w:rsid w:val="003E6A02"/>
    <w:rsid w:val="00410FC1"/>
    <w:rsid w:val="004256E7"/>
    <w:rsid w:val="00432F15"/>
    <w:rsid w:val="004575F8"/>
    <w:rsid w:val="0046376D"/>
    <w:rsid w:val="00506C60"/>
    <w:rsid w:val="005106C0"/>
    <w:rsid w:val="005124DD"/>
    <w:rsid w:val="005224C8"/>
    <w:rsid w:val="0053748E"/>
    <w:rsid w:val="005747F9"/>
    <w:rsid w:val="005A27F0"/>
    <w:rsid w:val="0064095E"/>
    <w:rsid w:val="006425FC"/>
    <w:rsid w:val="00680C68"/>
    <w:rsid w:val="00745F0E"/>
    <w:rsid w:val="00770734"/>
    <w:rsid w:val="00786C4D"/>
    <w:rsid w:val="007B4C04"/>
    <w:rsid w:val="00820B18"/>
    <w:rsid w:val="00884011"/>
    <w:rsid w:val="00890A5E"/>
    <w:rsid w:val="008E0FD6"/>
    <w:rsid w:val="008F0C39"/>
    <w:rsid w:val="00910562"/>
    <w:rsid w:val="009160DA"/>
    <w:rsid w:val="00921DA2"/>
    <w:rsid w:val="00930AFC"/>
    <w:rsid w:val="00936D0E"/>
    <w:rsid w:val="009504CE"/>
    <w:rsid w:val="00956131"/>
    <w:rsid w:val="009707A6"/>
    <w:rsid w:val="00980D21"/>
    <w:rsid w:val="00990CD7"/>
    <w:rsid w:val="00991E4E"/>
    <w:rsid w:val="009C1A3A"/>
    <w:rsid w:val="009D1106"/>
    <w:rsid w:val="00A13BBA"/>
    <w:rsid w:val="00A16F4B"/>
    <w:rsid w:val="00A225B6"/>
    <w:rsid w:val="00A3798B"/>
    <w:rsid w:val="00A87BD7"/>
    <w:rsid w:val="00B44AD6"/>
    <w:rsid w:val="00BA3216"/>
    <w:rsid w:val="00BB227D"/>
    <w:rsid w:val="00BD392A"/>
    <w:rsid w:val="00C04B2A"/>
    <w:rsid w:val="00C173BD"/>
    <w:rsid w:val="00C32E85"/>
    <w:rsid w:val="00C4120B"/>
    <w:rsid w:val="00C473EC"/>
    <w:rsid w:val="00C501A3"/>
    <w:rsid w:val="00C5489E"/>
    <w:rsid w:val="00CD0BEE"/>
    <w:rsid w:val="00CF6D73"/>
    <w:rsid w:val="00D056CD"/>
    <w:rsid w:val="00D452AF"/>
    <w:rsid w:val="00E139F7"/>
    <w:rsid w:val="00E755D6"/>
    <w:rsid w:val="00E9166D"/>
    <w:rsid w:val="00EA6D13"/>
    <w:rsid w:val="00EA6F96"/>
    <w:rsid w:val="00EE23B1"/>
    <w:rsid w:val="00F22340"/>
    <w:rsid w:val="00F33BA5"/>
    <w:rsid w:val="00F3583B"/>
    <w:rsid w:val="00F37D2D"/>
    <w:rsid w:val="00FC7882"/>
    <w:rsid w:val="00FF63FF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6A-4BD8-9180-8E7B41C438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39,9%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6A-4BD8-9180-8E7B41C438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6A-4BD8-9180-8E7B41C438F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6A-4BD8-9180-8E7B41C43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2.7E-2</c:v>
                </c:pt>
                <c:pt idx="1">
                  <c:v>0.38400000000000001</c:v>
                </c:pt>
                <c:pt idx="2">
                  <c:v>0.46300000000000002</c:v>
                </c:pt>
                <c:pt idx="3">
                  <c:v>6.8000000000000005E-2</c:v>
                </c:pt>
                <c:pt idx="4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45529408"/>
        <c:axId val="1045511104"/>
      </c:barChart>
      <c:catAx>
        <c:axId val="10455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11104"/>
        <c:crosses val="autoZero"/>
        <c:auto val="1"/>
        <c:lblAlgn val="ctr"/>
        <c:lblOffset val="100"/>
        <c:noMultiLvlLbl val="0"/>
      </c:catAx>
      <c:valAx>
        <c:axId val="1045511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19079504825681"/>
          <c:y val="4.856512141280353E-2"/>
          <c:w val="0.46011366689400046"/>
          <c:h val="0.799078409900749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D2-4E9D-B0CB-7C16F6B0F4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D2-4E9D-B0CB-7C16F6B0F4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D2-4E9D-B0CB-7C16F6B0F4CF}"/>
                </c:ext>
              </c:extLst>
            </c:dLbl>
            <c:dLbl>
              <c:idx val="3"/>
              <c:layout>
                <c:manualLayout>
                  <c:x val="0"/>
                  <c:y val="4.41501103752757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D2-4E9D-B0CB-7C16F6B0F4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0.623</c:v>
                </c:pt>
                <c:pt idx="1">
                  <c:v>0.69899999999999995</c:v>
                </c:pt>
                <c:pt idx="2">
                  <c:v>0.54</c:v>
                </c:pt>
                <c:pt idx="3">
                  <c:v>0.75800000000000001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D2-4E9D-B0CB-7C16F6B0F4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D2-4E9D-B0CB-7C16F6B0F4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D2-4E9D-B0CB-7C16F6B0F4C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D2-4E9D-B0CB-7C16F6B0F4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0.39800000000000002</c:v>
                </c:pt>
                <c:pt idx="1">
                  <c:v>0.27400000000000002</c:v>
                </c:pt>
                <c:pt idx="2">
                  <c:v>0.46400000000000002</c:v>
                </c:pt>
                <c:pt idx="3">
                  <c:v>0.23799999999999999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D2-4E9D-B0CB-7C16F6B0F4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D2-4E9D-B0CB-7C16F6B0F4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D2-4E9D-B0CB-7C16F6B0F4C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D2-4E9D-B0CB-7C16F6B0F4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4.9000000000000002E-2</c:v>
                </c:pt>
                <c:pt idx="1">
                  <c:v>2.7E-2</c:v>
                </c:pt>
                <c:pt idx="2">
                  <c:v>4.5999999999999999E-2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116358658453114E-2"/>
          <c:y val="5.4726368159203981E-2"/>
          <c:w val="0.93976728268309373"/>
          <c:h val="0.57086104908528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73-4635-B4B1-5DBB4E4F1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73-4635-B4B1-5DBB4E4F1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0.16400000000000001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73-4635-B4B1-5DBB4E4F1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7.2999999999999995E-2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48416"/>
        <c:axId val="1039557568"/>
      </c:barChart>
      <c:catAx>
        <c:axId val="10395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57568"/>
        <c:crosses val="autoZero"/>
        <c:auto val="1"/>
        <c:lblAlgn val="ctr"/>
        <c:lblOffset val="100"/>
        <c:noMultiLvlLbl val="0"/>
      </c:catAx>
      <c:valAx>
        <c:axId val="1039557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6649077447408622"/>
          <c:w val="0.94185643299441935"/>
          <c:h val="0.309699533826928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0.32100000000000001</c:v>
                </c:pt>
                <c:pt idx="1">
                  <c:v>0.35599999999999998</c:v>
                </c:pt>
                <c:pt idx="2">
                  <c:v>0.33400000000000002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0.50600000000000001</c:v>
                </c:pt>
                <c:pt idx="1">
                  <c:v>0.47199999999999998</c:v>
                </c:pt>
                <c:pt idx="2">
                  <c:v>0.48499999999999999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0.14599999999999999</c:v>
                </c:pt>
                <c:pt idx="1">
                  <c:v>0.14099999999999999</c:v>
                </c:pt>
                <c:pt idx="2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BF-4B57-A353-827A80FD099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5BF-4B57-A353-827A80FD0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2.7E-2</c:v>
                </c:pt>
                <c:pt idx="1">
                  <c:v>3.1E-2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0.47399999999999998</c:v>
                </c:pt>
                <c:pt idx="1">
                  <c:v>0.41799999999999998</c:v>
                </c:pt>
                <c:pt idx="2">
                  <c:v>0.40200000000000002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203703703703703E-2"/>
                  <c:y val="-4.8484848484848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2C-4B18-BF12-5EBA92541F9F}"/>
                </c:ext>
              </c:extLst>
            </c:dLbl>
            <c:dLbl>
              <c:idx val="1"/>
              <c:layout>
                <c:manualLayout>
                  <c:x val="2.0833333333333162E-2"/>
                  <c:y val="-2.42424242424242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680555555555555E-2"/>
                      <c:h val="6.96969696969697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82C-4B18-BF12-5EBA92541F9F}"/>
                </c:ext>
              </c:extLst>
            </c:dLbl>
            <c:dLbl>
              <c:idx val="2"/>
              <c:layout>
                <c:manualLayout>
                  <c:x val="2.0833333333333332E-2"/>
                  <c:y val="-1.99751849200668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B9-4E0C-A34F-EE9288287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0.46100000000000002</c:v>
                </c:pt>
                <c:pt idx="1">
                  <c:v>0.46600000000000003</c:v>
                </c:pt>
                <c:pt idx="2" formatCode="0%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4.9000000000000002E-2</c:v>
                </c:pt>
                <c:pt idx="1">
                  <c:v>9.7000000000000003E-2</c:v>
                </c:pt>
                <c:pt idx="2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1.6E-2</c:v>
                </c:pt>
                <c:pt idx="1">
                  <c:v>1.9E-2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39535936"/>
        <c:axId val="1039544256"/>
      </c:barChart>
      <c:catAx>
        <c:axId val="103953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44256"/>
        <c:crosses val="autoZero"/>
        <c:auto val="1"/>
        <c:lblAlgn val="ctr"/>
        <c:lblOffset val="100"/>
        <c:noMultiLvlLbl val="0"/>
      </c:catAx>
      <c:valAx>
        <c:axId val="1039544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0.61799999999999999</c:v>
                </c:pt>
                <c:pt idx="1">
                  <c:v>0.48499999999999999</c:v>
                </c:pt>
                <c:pt idx="2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0.36099999999999999</c:v>
                </c:pt>
                <c:pt idx="1">
                  <c:v>0.48199999999999998</c:v>
                </c:pt>
                <c:pt idx="2">
                  <c:v>0.378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2.1000000000000001E-2</c:v>
                </c:pt>
                <c:pt idx="1">
                  <c:v>3.3000000000000002E-2</c:v>
                </c:pt>
                <c:pt idx="2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7893504"/>
        <c:axId val="417894752"/>
      </c:barChart>
      <c:catAx>
        <c:axId val="417893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7894752"/>
        <c:crosses val="autoZero"/>
        <c:auto val="1"/>
        <c:lblAlgn val="ctr"/>
        <c:lblOffset val="100"/>
        <c:noMultiLvlLbl val="0"/>
      </c:catAx>
      <c:valAx>
        <c:axId val="4178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178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277194517351997"/>
          <c:y val="6.6666666666666666E-2"/>
          <c:w val="0.48102435112277631"/>
          <c:h val="0.85419327129563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Шрифтовые и цветовые выделения в тексте</c:v>
                </c:pt>
                <c:pt idx="4">
                  <c:v>Маркеры с вопросами и заданиями в тексте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0.63600000000000001</c:v>
                </c:pt>
                <c:pt idx="1">
                  <c:v>0.55500000000000005</c:v>
                </c:pt>
                <c:pt idx="2">
                  <c:v>0.74399999999999999</c:v>
                </c:pt>
                <c:pt idx="3">
                  <c:v>0.77200000000000002</c:v>
                </c:pt>
                <c:pt idx="4">
                  <c:v>0.63300000000000001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Шрифтовые и цветовые выделения в тексте</c:v>
                </c:pt>
                <c:pt idx="4">
                  <c:v>Маркеры с вопросами и заданиями в тексте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0.32200000000000001</c:v>
                </c:pt>
                <c:pt idx="1">
                  <c:v>0.40100000000000002</c:v>
                </c:pt>
                <c:pt idx="2">
                  <c:v>0.224</c:v>
                </c:pt>
                <c:pt idx="3">
                  <c:v>0.193</c:v>
                </c:pt>
                <c:pt idx="4">
                  <c:v>0.30499999999999999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Шрифтовые и цветовые выделения в тексте</c:v>
                </c:pt>
                <c:pt idx="4">
                  <c:v>Маркеры с вопросами и заданиями в тексте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4.2000000000000003E-2</c:v>
                </c:pt>
                <c:pt idx="1">
                  <c:v>4.3999999999999997E-2</c:v>
                </c:pt>
                <c:pt idx="2">
                  <c:v>3.2000000000000001E-2</c:v>
                </c:pt>
                <c:pt idx="3">
                  <c:v>3.5000000000000003E-2</c:v>
                </c:pt>
                <c:pt idx="4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45538976"/>
        <c:axId val="1045540224"/>
      </c:barChart>
      <c:catAx>
        <c:axId val="10455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540224"/>
        <c:crosses val="autoZero"/>
        <c:auto val="1"/>
        <c:lblAlgn val="ctr"/>
        <c:lblOffset val="100"/>
        <c:noMultiLvlLbl val="0"/>
      </c:catAx>
      <c:valAx>
        <c:axId val="10455402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455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166539078448528"/>
          <c:y val="0.85419327129563349"/>
          <c:w val="0.41666921843102944"/>
          <c:h val="0.14580672870436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6878375740222596E-3"/>
          <c:y val="1.1209142335468934E-2"/>
          <c:w val="0.99731216242597776"/>
          <c:h val="0.52069797464242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8569795097889027E-2"/>
                  <c:y val="2.05851832713450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08-4762-A526-2A88CB2A9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2.4E-2</c:v>
                </c:pt>
                <c:pt idx="1">
                  <c:v>3.6999999999999998E-2</c:v>
                </c:pt>
                <c:pt idx="2">
                  <c:v>7.1999999999999995E-2</c:v>
                </c:pt>
                <c:pt idx="3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08-4762-A526-2A88CB2A9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0.24199999999999999</c:v>
                </c:pt>
                <c:pt idx="1">
                  <c:v>0.311</c:v>
                </c:pt>
                <c:pt idx="2">
                  <c:v>0.313</c:v>
                </c:pt>
                <c:pt idx="3">
                  <c:v>0.27200000000000002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08-4762-A526-2A88CB2A9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0.73399999999999999</c:v>
                </c:pt>
                <c:pt idx="1">
                  <c:v>0.65200000000000002</c:v>
                </c:pt>
                <c:pt idx="2">
                  <c:v>0.61499999999999999</c:v>
                </c:pt>
                <c:pt idx="3">
                  <c:v>0.66800000000000004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08-4762-A526-2A88CB2A90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0028288"/>
        <c:axId val="90042368"/>
      </c:barChart>
      <c:catAx>
        <c:axId val="9002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042368"/>
        <c:crosses val="autoZero"/>
        <c:auto val="1"/>
        <c:lblAlgn val="ctr"/>
        <c:lblOffset val="100"/>
        <c:noMultiLvlLbl val="0"/>
      </c:catAx>
      <c:valAx>
        <c:axId val="900423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9002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929567688336484E-2"/>
          <c:y val="0.80320637444749376"/>
          <c:w val="0.96336790958981366"/>
          <c:h val="0.1638991792692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ткрытая">
    <a:dk1>
      <a:sysClr val="windowText" lastClr="000000"/>
    </a:dk1>
    <a:lt1>
      <a:sysClr val="window" lastClr="FFFFFF"/>
    </a:lt1>
    <a:dk2>
      <a:srgbClr val="464646"/>
    </a:dk2>
    <a:lt2>
      <a:srgbClr val="DEF5FA"/>
    </a:lt2>
    <a:accent1>
      <a:srgbClr val="2DA2BF"/>
    </a:accent1>
    <a:accent2>
      <a:srgbClr val="DA1F28"/>
    </a:accent2>
    <a:accent3>
      <a:srgbClr val="EB641B"/>
    </a:accent3>
    <a:accent4>
      <a:srgbClr val="39639D"/>
    </a:accent4>
    <a:accent5>
      <a:srgbClr val="474B78"/>
    </a:accent5>
    <a:accent6>
      <a:srgbClr val="7D3C4A"/>
    </a:accent6>
    <a:hlink>
      <a:srgbClr val="FF8119"/>
    </a:hlink>
    <a:folHlink>
      <a:srgbClr val="44B9E8"/>
    </a:folHlink>
  </a:clrScheme>
  <a:fontScheme name="Открытая">
    <a:maj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ajorFont>
    <a:min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inorFont>
  </a:fontScheme>
  <a:fmtScheme name="Открытая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55000" cap="flat" cmpd="thickThin" algn="ctr">
        <a:solidFill>
          <a:schemeClr val="phClr"/>
        </a:solidFill>
        <a:prstDash val="solid"/>
      </a:ln>
      <a:ln w="63500" cap="flat" cmpd="thickThin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55000"/>
              <a:satMod val="300000"/>
            </a:schemeClr>
          </a:gs>
          <a:gs pos="40000">
            <a:schemeClr val="phClr">
              <a:tint val="65000"/>
              <a:satMod val="300000"/>
            </a:schemeClr>
          </a:gs>
          <a:gs pos="100000">
            <a:schemeClr val="phClr">
              <a:shade val="65000"/>
              <a:satMod val="300000"/>
            </a:schemeClr>
          </a:gs>
        </a:gsLst>
        <a:path path="circle">
          <a:fillToRect l="65000" b="98000"/>
        </a:path>
      </a:gradFill>
      <a:blipFill>
        <a:blip xmlns:r="http://schemas.openxmlformats.org/officeDocument/2006/relationships" r:embed="rId1">
          <a:duotone>
            <a:schemeClr val="phClr">
              <a:shade val="60000"/>
              <a:satMod val="110000"/>
            </a:schemeClr>
            <a:schemeClr val="phClr">
              <a:tint val="95000"/>
            </a:schemeClr>
          </a:duotone>
        </a:blip>
        <a:tile tx="0" ty="0" sx="50000" sy="5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EF88-6961-4ACD-AF5C-8BAB334E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12</cp:revision>
  <cp:lastPrinted>2021-12-06T09:57:00Z</cp:lastPrinted>
  <dcterms:created xsi:type="dcterms:W3CDTF">2021-11-19T07:35:00Z</dcterms:created>
  <dcterms:modified xsi:type="dcterms:W3CDTF">2021-12-08T07:03:00Z</dcterms:modified>
</cp:coreProperties>
</file>