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3"/>
      </w:tblGrid>
      <w:tr w:rsidR="003B515A" w:rsidRPr="003B515A" w:rsidTr="00BA194D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Міністэрства адукацыі Рэспублікі Беларусь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Вучэбная праграма па вучэбным прадмеце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«Матэматыка»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IX класа </w:t>
      </w:r>
      <w:r w:rsidR="00CD17A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станоў адукацыі, якія рэалізуюць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вучняў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матэматычных здольнасцей, цікавасці да творчай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рашэння геаметрычных задач на доказ і вылічэнне з выкарыстаннем уласцівасцей фігур;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мадэлявання пры рашэнні тэкставых, практыка-арыентаваных задач, задач з міжпрадметным зместам;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V–VI класы – 6 работ;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VII–IX класы – 8 работ.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CD17AF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bookmarkStart w:id="0" w:name="_GoBack"/>
      <w:bookmarkEnd w:id="0"/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IX КЛАСЕ.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(усяго 152 гадзіны, у тым ліку 5 рэзервовых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91 гадзіна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61 гадзіна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Рацыянальныя выразы (23 гадзіны)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Рацыянальны дроб. Асноўная ўласцівасць рацыянальнага дробу. Скарачэнне рацыянальных дробаў.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Складанне, адніманне, множанне, дзяленне і ўзвядзенне ў ступень рацыянальных дробаў.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Пераўтварэнні рацыянальных дробаў.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рацыянальны дроб, рацыянальныя выразы, цэлы рацыянальны выраз, дробавы рацыянальны выраз, абсяг вызначэння рацыянальнага дробу, скарачэнне рацыянальнага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азначэнне рацыянальнага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скарачэння дробаў;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складання, аднімання, множання, дзялення і ўзвядзення ў ступень рацыянальных дробаў;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аперацыі з рацыянальнымі дробамі; сумесныя дзеянні з рацыянальнымі дробамі;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Функцыі (16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 лікавага аргумента. Абсяг вызначэння, мноства значэнняў. Спосабы задання функцыі. Уласцівасці функцыі (абсяг вызначэння, мноства значэнняў, нулі функцыі, прамежкі знакапастаянства, нарастанне і спаданне). Цотныя і няцотныя функцыі.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Пабудова графікаў функцый: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±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a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 ±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b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a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b</w:t>
      </w:r>
      <m:oMath>
        <m:r>
          <w:rPr>
            <w:rFonts w:ascii="Cambria Math" w:eastAsia="Times New Roman" w:hAnsi="Cambria Math" w:cs="Times New Roman"/>
            <w:sz w:val="30"/>
            <w:szCs w:val="30"/>
            <w:lang w:val="be-BY" w:eastAsia="ru-RU"/>
          </w:rPr>
          <m:t>∈</m:t>
        </m:r>
      </m:oMath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R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дапамогай пераўтварэння графіка функцыі y = f(x).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Пабудова графікаў функцый: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kf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kx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k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 w:eastAsia="ru-RU"/>
          </w:rPr>
          <m:t>∈</m:t>
        </m:r>
      </m:oMath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R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k</m:t>
        </m:r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 w:eastAsia="ru-RU"/>
          </w:rPr>
          <m:t>≠0</m:t>
        </m:r>
      </m:oMath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),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дапамогай пераўтварэння графіка функцыі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y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f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абсяг вызначэння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мноства значэнняў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нулі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прамежкі знакапастаянства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цотныя і няцотныя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нарастанне і спаданне (манатоннасць)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функцыі лікавага аргумента; графіка функцыі; цотнай і няцотнай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пабудовы графікаў функцыі з дапамогай пераўтварэнняў;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абсяг вызначэння і мноства значэнняў функцыі; нулі функцыі; прамежкі знакапастаянства функцыі; прамежкі нарастання і спадання (манатоннасць)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пабудову графікаў функцыі з дапамогай пераўтварэнняў;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рэальныя працэсы з дапамогай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уласцівасці функцый для рашэння задач з дапамогай графічных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Дробава-рацыянальныя ўраўненні і няроўнасці (31 гадзіна)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Дробава-рацыянальныя ўраўненні. Рашэнне дробава-рацыянальных ураўненняў і ўраўненняў, якія зводзяцца да іх. Мадэляванне рэальных працэсаў з дапамогай дробава-рацыянальных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Формула даўжыні адрэзка з зададзенымі каардынатамі канцоў. Ураўненне акружнасці.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Сістэмы нелінейных ураўненняў. Рашэнне сістэм нелінейных ураўненняў. Графічны метад рашэння сістэм нелінейных ураўненняў. Мадэляванне рэальных працэсаў з дапамогай сістэм нелінейных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Дробава-рацыянальныя няроўнасці. Метад інтэрвалаў для рашэння рацыянальных няроўнасцей.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Ур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аўненні і няроўнасці, якія змяшчаюць выразы пад знакам модуля**.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дробава-рацыянальнае ўраўненне;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дробава-рацыянальная няроўнасць;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ураўненне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рашэння дробава-рацыянальных ураўненняў;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 рашэння рацыянальных няроўнасцей метадам інтэрвалаў;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ураўненне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формулу даўжыні адрэзка з зададзенымі каардынатамі канцоў;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некаторыя віды дробава-рацыянальных ураўненняў; дробава-рацыянальныя няроўнасці метадам інтэрвалаў; сістэмы і сукупнасці рацыянальных няроўнасцей і ўраўненняў;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запісваць ураўненне акружнасці з зададзеным цэнтрам і радыусам;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даўжыню адрэзка, ведаючы каардынаты яго канцоў;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на мадэляванне рэальных сітуацый з дапамогай дробава-рацыянальных ураўненняў; сістэм ураўненняў; дробава-рацыянальных няроўнасцей.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Прагрэсіі (18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Лікавая паслядоўнасць. Спосабы задання лічбавай паслядоўнасці.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Арыфметычная і геаметрычная прагрэсіі, іх уласцівасці. Формулы n-га члена і сумы n першых членаў арыфметычнай і геаметрычнай прагрэсій. Характарыстычныя ўласцівасці арыфметычнай і геаметрычнай прагрэсій. Прымяненне ўласцівасцей прагрэсій да рашэння задач.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Бясконца спадальная геаметрычная прагрэсія. Сума бясконца спадальнай геаметрычнай прагрэсіі. Уяўленне бясконцага перыядычнага дзесятковага дробу ў выглядзе звычайнага дробу.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Мадэляванне рэальных працэсаў з дапамогай уласцівасцей арыфметычнай і геаметрычнай прагрэсій.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функцыя натуральнага аргумента;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лікавая паслядоўнасць;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арыфметычная і геаметрычная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член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рознасць арыфметычнай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 геаметрычнай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бясконца спадальная геаметрычная прагрэсія;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арыфметычнай і геаметрычнай прагрэсій; бясконца спадальнай геаметрычнай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n-га члена і сумы n першых членаў арыфметычнай і геаметрычнай прагрэсій;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характарыстычныя ўласцівасці арыфметычнай і геаметрычнай прагрэсій;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формулу сумы бясконца спадальнай геаметрычнай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формулы n-га члена для вызначэння члена прагрэсіі па яго нумары і нумара члена прагрэсіі; азначэнні рознасці арыфметычнай прагрэсіі і назоўніка геаметрычнай прагрэсіі; характарыстычныя ўласцівасці для вызначэння віду паслядоўнасці, рашэння задач на знаходжанне элементаў прагрэсій;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n-га члена арыфметычнай і геаметрычнай прагрэсій і сумы n першых членаў арыфметычнай і геаметрычнай прагрэсій;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на прымяненне формулы n-га члена і сумы n першых членаў арыфметычнай і геаметрычнай прагрэсій;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знаходзіць суму членаў бясконца спадальнай геаметрычнай прагрэсіі;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бясконцы перыядычны дзесятковы дроб у выглядзе звычайнага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Суадносіны ў прамавугольным трохвугольніку (14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Сінус, косінус, тангенс, катангенс вострага вугла.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прамавугольнага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Трыганаметрычныя формулы.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Сінус, косінус, тангенс, катангенс тупога вугла.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Формула плошчы трохвугольніка і паралелаграма.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Сярэдняе прапарцыянальнае (сярэдняе геаметрычнае) у прамавугольным трохвугольніку.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аб плошчах трохвугольнікаў з агульным (роўным) вуглом. Тэарэма Менелая. Няроўнасць Кашы. Плошча выпуклага чатырохвугольніка**.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сінус, косінус, тангенс, катангенс вострага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праекцыя катэта на гіпатэнузу;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сярэдняе прапарцыянальнае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сярэдняе геаметрычнае;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сінуса, косінуса, тангенса, катангенса вострага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асноўную трыганаметрычную тоеснасць: </w:t>
      </w:r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>sin</w:t>
      </w:r>
      <w:r w:rsidRPr="003B515A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30"/>
            <w:szCs w:val="30"/>
            <w:vertAlign w:val="superscript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α</m:t>
        </m:r>
      </m:oMath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cos</w:t>
      </w:r>
      <w:r w:rsidRPr="003B515A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30"/>
            <w:szCs w:val="30"/>
            <w:vertAlign w:val="superscript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α</m:t>
        </m:r>
      </m:oMath>
      <w:r w:rsidRPr="003B5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1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значэнні сінуса, косінуса, тангенса і катангенса вуглоў 30°, 45°, 60°;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формулы, якія выражаюць тангенс і катангенс аднаго і таго ж вугла, праз сінус і косінус таго ж вугла: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A3D9D5C" wp14:editId="58CAC98F">
            <wp:extent cx="731520" cy="342900"/>
            <wp:effectExtent l="0" t="0" r="0" b="0"/>
            <wp:docPr id="16" name="Рисунок 3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6A34571" wp14:editId="70ABFFBA">
            <wp:extent cx="731520" cy="342900"/>
            <wp:effectExtent l="0" t="0" r="0" b="0"/>
            <wp:docPr id="17" name="Рисунок 2" descr="C:\NCPI_CLIENT\EKBD\Texts\w21934686p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NCPI_CLIENT\EKBD\Texts\w21934686p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плошчы трохвугольніка і паралелаграма, звязаныя з сінусам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алгарытмы рашэння прамавугольнага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тэарэму аб сярэднім прапарцыянальным у прамавугольным трохвугольніку;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даказваць тэарэму аб сярэднім прапарцыянальным у прамавугольным трохвугольніку;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плошчы трохвугольніка і паралелаграма, звязаныя з сінусам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значэнні трыганаметрычных функцый вуглоў ад 0° да 180°, кратных 30°, 45° і 60°; стораны, вуглы і плошчу прамавугольнага трохвугольніка па вядомых старанах і вуглах;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названыя тэарэмы і формулы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Упісаныя і апісаныя акружнасці (15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Апісаная і ўпісаная акружнасці трохвугольніка.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Прамавугольны трохвугольнік і яго апісаная і ўпісаная акружнасці.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Упісаныя і апісаныя чатырохвугольнікі.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Апісаная трапецыя. Уласцівасці і прыметы ўпісанага чатырохвугольніка. Пазаўпісаныя акружнасці. Абагульненая тэарэма Піфагора. Формула Эйлера для акружнасцей**</w:t>
      </w:r>
      <w:r w:rsidRPr="003B515A">
        <w:rPr>
          <w:rFonts w:ascii="Times New Roman" w:eastAsia="Times New Roman" w:hAnsi="Times New Roman" w:cs="Times New Roman"/>
          <w:color w:val="4472C4"/>
          <w:sz w:val="30"/>
          <w:szCs w:val="30"/>
          <w:lang w:val="be-BY"/>
        </w:rPr>
        <w:t>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упісаная і апісаная акружнасці, цэнтр упісанай і апісанай акружнасцей;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упісаны і апісаны многавугольнікі;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апісанай і ўпісанай акружнасцей трохвугольніка (многавугольніка); упісанага і апісанага чатырохвугольнікаў (многавугольнікаў);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радыуса акружнасці, апісанай каля прамавугольнага трохвугольніка; радыуса акружнасці, упісанай у прамавугольны трохвугольнік; плошчы трохвугольніка, звязанай з радыусам упісанай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і прыметы ўпісанага чатырохвугольніка, апісанага чатырохвугольніка;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тэарэмы аб акружнасці, апісанай каля трохвугольніка; акружнасці, упісанай у трохвугольнік;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тэарэмы аб акружнасці, апісанай каля трохвугольніка; аб акружнасці, упісанай у трохвугольнік; уласцівасці ўпісанага чатырохвугольніка; уласцівасці апісанага чатырохвугольніка;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выводзіць формулы радыуса акружнасці, упісанай у прамавугольны трохвугольнік; плошчы трохвугольніка, звязанай з радыусам упісанай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тэарэмы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упісаную і апісаную акружнасці трохвугольніка пры дапамозе цыркуля і лінейкі;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задачы на пабудову,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Тэарэма сінусаў. Тэарэма косінусаў (15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сінусаў. Тэарэма косінусаў. Формула Герона.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трохвугольнікаў.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Формула медыяны і бісектрысы трохвугольніка. Тэарэма Сцюарта. Тэарэма Пталемея аб упісаным чатырохвугольніку**.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радыус акружнасці, апісанай каля трохвугольніка;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формулу Герона;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тэарэмы сінусаў; косінусаў;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вынікі з тэарэмы косінусаў;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даказваць тэарэму сінусаў і тэарэму косінусаў;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косінус вугла трохвугольніка, зададзенага трыма старанамі;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від трохвугольніка па трох яго старанах;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плошчу трохвугольніка, зададзенага трыма старанамі і радыусам апісаннай акружнасці;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невядомыя стораны і вуглы (іншыя элементы) па даных, якія вызначаюць трохвугольнік;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названыя тэарэмы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8. Правільныя многавугольнікі (15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Правільныя многавугольнікі. Акружнасць, апісаная каля правільнага многавугольніка, і акружнасць, упісаная ў правільны многавугольнік.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радыусаў, апісанай і ўпісанай акружнасцей правільнага многавугольніка. Правільны трохвугольнік, чатырохвугольнік, шасцівугольнік.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Даўжыня акружнасці і плошча круга. Сектар і сегмент круга. Даўжыня дугі, плошча сектара і сегмента круга.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 і задачы з міжпрадметным зместам,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Залатое сячэнне**.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Вектары і каардынаты**.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правільны многавугольнік, цэнтр правільнага n-вугольніка;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акружнасць, даўжыня дугі акружнасці, круг, сектар, радыус сектара, дуга сектара, вугал сектара, сегмент;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азначэнні правільнага многавугольніка; сектара і сегмента круга;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</w:t>
      </w:r>
      <w:r w:rsidRPr="003B515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17E7032" wp14:editId="3AA2D7C0">
            <wp:extent cx="121920" cy="144780"/>
            <wp:effectExtent l="0" t="0" r="0" b="0"/>
            <wp:docPr id="18" name="Рисунок 1" descr="C:\NCPI_CLIENT\EKBD\Texts\w21934686p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NCPI_CLIENT\EKBD\Texts\w21934686p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для знаходжання радыусаў апісанай і ўпісанай акружнасцей правільнага многавугольніка па зададзенай старане правільнага трохвугольніка, чатырохвугольніка, шасцівугольніка; вышыні, плошчы правільнага трохвугольніка па зададзенай старане; даўжыні дугі акружнасці, плошчы круга, плошчы сектара, сегмента круга;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акружнасці, апісанай каля правільнага многавугольніка, і аб акружнасці, упісанай у правільны многавугольнік;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радыусы апісанай і ўпісанай акружнасцей правільнага многавугольніка; плошчы правільнага трохвугольніка і шасцівугольніка; знаходжання велічыні ўнутранага вугла правільнага многавугольніка; даўжыню дугі зададзенай акружнасці, вугал сектара круга, даўжыню дугі сектара круга; плошчу круга, сектара зададзенага круга, сегмента зададзенага круга;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прымяняць названыя тэарэмы і формулы да рашэння задач на вылічэнне і доказ;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</w:t>
      </w:r>
    </w:p>
    <w:p w:rsidR="003B515A" w:rsidRPr="003B515A" w:rsidRDefault="003B515A" w:rsidP="003B515A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be-BY" w:eastAsia="ru-RU"/>
        </w:rPr>
      </w:pPr>
      <w:r w:rsidRPr="003B515A">
        <w:rPr>
          <w:rFonts w:ascii="Times New Roman" w:eastAsia="Times New Roman" w:hAnsi="Times New Roman" w:cs="Times New Roman"/>
          <w:lang w:val="be-BY" w:eastAsia="ru-RU"/>
        </w:rPr>
        <w:t>*Д</w:t>
      </w:r>
      <w:r w:rsidRPr="003B515A">
        <w:rPr>
          <w:rFonts w:ascii="Times New Roman" w:eastAsia="Times New Roman" w:hAnsi="Times New Roman" w:cs="Times New Roman"/>
          <w:color w:val="202124"/>
          <w:lang w:val="be-BY" w:eastAsia="ru-RU"/>
        </w:rPr>
        <w:t>адзеныя</w:t>
      </w:r>
      <w:r w:rsidRPr="003B515A">
        <w:rPr>
          <w:rFonts w:ascii="Times New Roman" w:eastAsia="Times New Roman" w:hAnsi="Times New Roman" w:cs="Times New Roman"/>
          <w:lang w:val="be-BY" w:eastAsia="ru-RU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педагагічным работнікам.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3B515A">
        <w:rPr>
          <w:rFonts w:ascii="Times New Roman" w:eastAsia="Times New Roman" w:hAnsi="Times New Roman" w:cs="Times New Roman"/>
          <w:lang w:val="be-BY" w:eastAsia="ru-RU"/>
        </w:rPr>
        <w:t>**</w:t>
      </w:r>
      <w:r w:rsidRPr="003B515A">
        <w:rPr>
          <w:rFonts w:ascii="Times New Roman" w:eastAsia="Times New Roman" w:hAnsi="Times New Roman" w:cs="Times New Roman"/>
          <w:lang w:val="be-BY"/>
        </w:rPr>
        <w:t>Д</w:t>
      </w:r>
      <w:r w:rsidRPr="003B515A">
        <w:rPr>
          <w:rFonts w:ascii="Times New Roman" w:eastAsia="Times New Roman" w:hAnsi="Times New Roman" w:cs="Times New Roman"/>
          <w:color w:val="202124"/>
          <w:lang w:val="be-BY"/>
        </w:rPr>
        <w:t xml:space="preserve">адзеныя </w:t>
      </w:r>
      <w:r w:rsidRPr="003B515A">
        <w:rPr>
          <w:rFonts w:ascii="Times New Roman" w:eastAsia="Times New Roman" w:hAnsi="Times New Roman" w:cs="Times New Roman"/>
          <w:lang w:val="be-BY"/>
        </w:rPr>
        <w:t>тэмы</w:t>
      </w:r>
      <w:r w:rsidRPr="003B515A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lang w:val="be-BY"/>
        </w:rPr>
        <w:t>прызначаны для</w:t>
      </w:r>
      <w:r w:rsidRPr="003B515A">
        <w:rPr>
          <w:rFonts w:ascii="Times New Roman" w:eastAsia="Times New Roman" w:hAnsi="Times New Roman" w:cs="Times New Roman"/>
        </w:rPr>
        <w:t xml:space="preserve"> </w:t>
      </w:r>
      <w:r w:rsidRPr="003B515A">
        <w:rPr>
          <w:rFonts w:ascii="Times New Roman" w:eastAsia="Times New Roman" w:hAnsi="Times New Roman" w:cs="Times New Roman"/>
          <w:lang w:val="be-BY"/>
        </w:rPr>
        <w:t>вывучэння матэматыкі на павышаным узроўні.</w:t>
      </w:r>
    </w:p>
    <w:p w:rsidR="009F6307" w:rsidRPr="003B515A" w:rsidRDefault="009F6307">
      <w:pPr>
        <w:rPr>
          <w:lang w:val="be-BY"/>
        </w:rPr>
      </w:pPr>
    </w:p>
    <w:sectPr w:rsidR="009F6307" w:rsidRPr="003B515A" w:rsidSect="003B5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A"/>
    <w:rsid w:val="003B515A"/>
    <w:rsid w:val="009F6307"/>
    <w:rsid w:val="00C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E68"/>
  <w15:chartTrackingRefBased/>
  <w15:docId w15:val="{B4846266-DF00-4284-8413-0A0341C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B515A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B515A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51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515A"/>
  </w:style>
  <w:style w:type="paragraph" w:customStyle="1" w:styleId="chapter">
    <w:name w:val="chapt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B515A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3B515A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51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5A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3B51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B515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B515A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B515A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B51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B515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B515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B515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15A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B51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3B515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3B515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515A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3B51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3B51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3B515A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3B515A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B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B515A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B515A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3B515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3B515A"/>
    <w:rPr>
      <w:rFonts w:cs="Times New Roman"/>
      <w:vertAlign w:val="superscript"/>
    </w:rPr>
  </w:style>
  <w:style w:type="paragraph" w:customStyle="1" w:styleId="cap1">
    <w:name w:val="cap1"/>
    <w:basedOn w:val="a"/>
    <w:rsid w:val="003B51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B515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3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B515A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3B515A"/>
    <w:rPr>
      <w:rFonts w:ascii="Symbol" w:hAnsi="Symbol" w:cs="Times New Roman"/>
    </w:rPr>
  </w:style>
  <w:style w:type="paragraph" w:customStyle="1" w:styleId="snoskiline">
    <w:name w:val="snoskiline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3B515A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3B515A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3B515A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3B515A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3B515A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3B51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3B5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3B515A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3B51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515A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B515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B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51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B515A"/>
    <w:rPr>
      <w:rFonts w:cs="Times New Roman"/>
    </w:rPr>
  </w:style>
  <w:style w:type="character" w:styleId="afc">
    <w:name w:val="Placeholder Text"/>
    <w:basedOn w:val="a0"/>
    <w:uiPriority w:val="99"/>
    <w:semiHidden/>
    <w:rsid w:val="003B515A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3B515A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3B5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2023-09-01T13:31:00Z</dcterms:created>
  <dcterms:modified xsi:type="dcterms:W3CDTF">2023-09-01T13:31:00Z</dcterms:modified>
</cp:coreProperties>
</file>