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ED" w:rsidRPr="00E65553" w:rsidRDefault="00C84FED" w:rsidP="00C84FED">
      <w:pPr>
        <w:spacing w:after="0"/>
        <w:ind w:firstLine="709"/>
        <w:jc w:val="center"/>
        <w:rPr>
          <w:b/>
          <w:i/>
        </w:rPr>
      </w:pPr>
      <w:r w:rsidRPr="00E65553">
        <w:rPr>
          <w:b/>
          <w:i/>
        </w:rPr>
        <w:t>Билет 15</w:t>
      </w:r>
    </w:p>
    <w:p w:rsidR="00C84FED" w:rsidRDefault="00C84FED" w:rsidP="00C84FED">
      <w:pPr>
        <w:spacing w:after="0"/>
        <w:ind w:firstLine="709"/>
        <w:jc w:val="both"/>
        <w:rPr>
          <w:b/>
          <w:i/>
        </w:rPr>
      </w:pPr>
      <w:r w:rsidRPr="00E65553">
        <w:rPr>
          <w:b/>
          <w:i/>
        </w:rPr>
        <w:t>БССР в годы новой экономической политики</w:t>
      </w:r>
    </w:p>
    <w:p w:rsidR="00C84FED" w:rsidRPr="00D07BD9" w:rsidRDefault="00C84FED" w:rsidP="00C84FED">
      <w:pPr>
        <w:pStyle w:val="a3"/>
        <w:spacing w:after="0"/>
        <w:jc w:val="both"/>
      </w:pPr>
      <w:r w:rsidRPr="00D07BD9">
        <w:t>Используя представленные ниже материалы, ответьте на вопросы:</w:t>
      </w:r>
    </w:p>
    <w:p w:rsidR="00C84FED" w:rsidRDefault="00C84FED" w:rsidP="00C84FED">
      <w:pPr>
        <w:spacing w:after="0"/>
        <w:jc w:val="both"/>
      </w:pPr>
      <w:r>
        <w:t xml:space="preserve">1)Проанализируйте социально-экономическое положение Беларуси и на основании этих данных сформулируйте причину введения новой экономической политики. </w:t>
      </w:r>
    </w:p>
    <w:p w:rsidR="00C84FED" w:rsidRDefault="00C84FED" w:rsidP="00C84FED">
      <w:pPr>
        <w:spacing w:after="0"/>
        <w:jc w:val="both"/>
      </w:pPr>
      <w:r>
        <w:t xml:space="preserve">2) Охарактеризуйте исторические условия появления исторического документа. </w:t>
      </w:r>
    </w:p>
    <w:p w:rsidR="00C84FED" w:rsidRDefault="00C84FED" w:rsidP="00C84FED">
      <w:pPr>
        <w:spacing w:after="0"/>
        <w:jc w:val="both"/>
      </w:pPr>
      <w:r>
        <w:t>3) Назовите мероприятия, которые были проведены с принятием этого документа.</w:t>
      </w:r>
    </w:p>
    <w:p w:rsidR="00C84FED" w:rsidRDefault="00C84FED" w:rsidP="00C84FED">
      <w:pPr>
        <w:spacing w:after="0"/>
        <w:jc w:val="both"/>
      </w:pPr>
      <w:r>
        <w:t>3) Пользуясь таблицей, сделайте вывод об экономической эффективности  новой экономической политики.</w:t>
      </w: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pStyle w:val="a3"/>
        <w:numPr>
          <w:ilvl w:val="0"/>
          <w:numId w:val="5"/>
        </w:numPr>
        <w:spacing w:after="0"/>
        <w:jc w:val="both"/>
      </w:pPr>
      <w:r>
        <w:t xml:space="preserve">Итоги Первой мировой и советско-польской войн, оккупация Беларуси германскими и польскими войсками вызвали хозяйственный кризис. Территория Беларуси на протяжении более чем шести лет была ареной военных действий. К тому же она оказалась разделена по условиям Рижского мира. Посевные площади уменьшились почти на одну треть. Объем продукции сельского хозяйства составлял менее 50% </w:t>
      </w:r>
      <w:proofErr w:type="gramStart"/>
      <w:r>
        <w:t>от</w:t>
      </w:r>
      <w:proofErr w:type="gramEnd"/>
      <w:r>
        <w:t xml:space="preserve"> довоенного. Тысячи крестьян узнали, что такое недостаток продуктов. Промышленное производство в 1920 году в сравнении с </w:t>
      </w:r>
      <w:proofErr w:type="gramStart"/>
      <w:r>
        <w:t>довоенным</w:t>
      </w:r>
      <w:proofErr w:type="gramEnd"/>
      <w:r>
        <w:t xml:space="preserve"> сократилось в 7 раз. Зимой 1920-1921 гг. в Минске, например, </w:t>
      </w:r>
      <w:proofErr w:type="gramStart"/>
      <w:r>
        <w:t>не было топлива и не работал</w:t>
      </w:r>
      <w:proofErr w:type="gramEnd"/>
      <w:r>
        <w:t xml:space="preserve"> транспорт. Ситуация ухудшалась тем, что продолжалась политика «военного коммунизма». Крестьяне в условиях перехода от войны к мирному строительству </w:t>
      </w:r>
      <w:proofErr w:type="gramStart"/>
      <w:r>
        <w:t>высказывали все большее неудовольствие</w:t>
      </w:r>
      <w:proofErr w:type="gramEnd"/>
      <w:r>
        <w:t xml:space="preserve"> продразверсткой. Они не понимали, почему теперь, когда война закончилась, нужно отдавать почти все свои продукты на нужды Красной Армии.</w:t>
      </w: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pStyle w:val="a3"/>
        <w:numPr>
          <w:ilvl w:val="0"/>
          <w:numId w:val="4"/>
        </w:numPr>
        <w:spacing w:after="0"/>
        <w:jc w:val="both"/>
      </w:pPr>
      <w:r>
        <w:t>Декрет «О замене продовольственной и сырьевой разверстки натуральным налогом»</w:t>
      </w:r>
    </w:p>
    <w:p w:rsidR="00C84FED" w:rsidRPr="00645315" w:rsidRDefault="00C84FED" w:rsidP="00C84FED">
      <w:pPr>
        <w:spacing w:after="0"/>
        <w:jc w:val="both"/>
        <w:rPr>
          <w:i/>
        </w:rPr>
      </w:pPr>
      <w:proofErr w:type="gramStart"/>
      <w:r w:rsidRPr="00645315">
        <w:rPr>
          <w:i/>
        </w:rPr>
        <w:t>«Для обеспечения правильного и спокойного ведения хозяйства на основе более свободного распоряжения земледельца продуктами своей работы и своими хозяйственными средствами, для укрепления крестьянского хозяйства и поднятия его продуктивности, а также в целях точного установления падающих на земледельцев государственных обязательств разверстка как средс</w:t>
      </w:r>
      <w:r>
        <w:rPr>
          <w:i/>
        </w:rPr>
        <w:t>тво государственных заготовок продовольствия</w:t>
      </w:r>
      <w:r w:rsidRPr="00645315">
        <w:rPr>
          <w:i/>
        </w:rPr>
        <w:t>, сырья и фуража заменяется натуральным налогом.</w:t>
      </w:r>
      <w:proofErr w:type="gramEnd"/>
    </w:p>
    <w:p w:rsidR="00C84FED" w:rsidRPr="00645315" w:rsidRDefault="00C84FED" w:rsidP="00C84FED">
      <w:pPr>
        <w:spacing w:after="0"/>
        <w:jc w:val="both"/>
        <w:rPr>
          <w:i/>
        </w:rPr>
      </w:pPr>
      <w:r w:rsidRPr="00645315">
        <w:rPr>
          <w:i/>
        </w:rPr>
        <w:t>Этот налог должен быть меньшим за обложение, которое проводилось до этого времени путем разверстки…</w:t>
      </w:r>
    </w:p>
    <w:p w:rsidR="00C84FED" w:rsidRDefault="00C84FED" w:rsidP="00C84FED">
      <w:pPr>
        <w:spacing w:after="0"/>
        <w:jc w:val="both"/>
        <w:rPr>
          <w:i/>
        </w:rPr>
      </w:pPr>
      <w:r>
        <w:rPr>
          <w:i/>
        </w:rPr>
        <w:t>Все запасы продовольствия</w:t>
      </w:r>
      <w:r w:rsidRPr="00645315">
        <w:rPr>
          <w:i/>
        </w:rPr>
        <w:t xml:space="preserve">, сырья и фуража, которые остаются у земледельцев после выполнения ими налога, находятся в полном их распоряжении и могут быть использованы ими для улучшения собственного </w:t>
      </w:r>
      <w:r w:rsidRPr="00645315">
        <w:rPr>
          <w:i/>
        </w:rPr>
        <w:lastRenderedPageBreak/>
        <w:t>потребления и для обмена на продукты фабрично-заводской промышленности и сельскохозяйственного производства</w:t>
      </w:r>
      <w:proofErr w:type="gramStart"/>
      <w:r w:rsidRPr="00645315">
        <w:rPr>
          <w:i/>
        </w:rPr>
        <w:t>.»</w:t>
      </w:r>
      <w:proofErr w:type="gramEnd"/>
    </w:p>
    <w:p w:rsidR="00C84FED" w:rsidRDefault="00C84FED" w:rsidP="00C84FED">
      <w:pPr>
        <w:spacing w:after="0"/>
        <w:jc w:val="both"/>
      </w:pPr>
    </w:p>
    <w:p w:rsidR="00C84FED" w:rsidRPr="006247BB" w:rsidRDefault="00C84FED" w:rsidP="00C84FED">
      <w:pPr>
        <w:spacing w:after="0"/>
        <w:jc w:val="both"/>
      </w:pPr>
      <w:r>
        <w:t>4.</w:t>
      </w:r>
    </w:p>
    <w:tbl>
      <w:tblPr>
        <w:tblStyle w:val="a4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4268"/>
        <w:gridCol w:w="4356"/>
      </w:tblGrid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Политика «военного коммунизма»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Новая экономическая политика</w:t>
            </w:r>
          </w:p>
        </w:tc>
      </w:tr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продразверстка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продналог</w:t>
            </w:r>
          </w:p>
        </w:tc>
      </w:tr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Запрет свободы торговли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Разрешение свободы торговли</w:t>
            </w:r>
          </w:p>
        </w:tc>
      </w:tr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Натуральный обмен продуктами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Применение товарно-денежных отношений и введение советского червонца</w:t>
            </w:r>
          </w:p>
        </w:tc>
      </w:tr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Национализация промышленности, запрет частных предприятий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Разрешение мелкой частной собственности, допуск  иностранного капитала, разрешение найма рабочей силы и аренды земли</w:t>
            </w:r>
          </w:p>
        </w:tc>
      </w:tr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Введение всеобщей трудовой повинности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Свободный выбор форм землепользования, развитие сельскохозяйственной кооперации</w:t>
            </w:r>
          </w:p>
        </w:tc>
      </w:tr>
      <w:tr w:rsidR="00C84FED" w:rsidTr="005B19E8">
        <w:tc>
          <w:tcPr>
            <w:tcW w:w="4268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Уравнительный принцип оплаты труда</w:t>
            </w:r>
          </w:p>
        </w:tc>
        <w:tc>
          <w:tcPr>
            <w:tcW w:w="4356" w:type="dxa"/>
          </w:tcPr>
          <w:p w:rsidR="00C84FED" w:rsidRDefault="00C84FED" w:rsidP="005B19E8">
            <w:pPr>
              <w:pStyle w:val="a3"/>
              <w:ind w:left="0"/>
              <w:jc w:val="both"/>
            </w:pPr>
            <w:r>
              <w:t>Разные формы оплаты труда</w:t>
            </w:r>
          </w:p>
        </w:tc>
      </w:tr>
    </w:tbl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  <w:r>
        <w:t>Ответы:</w:t>
      </w:r>
    </w:p>
    <w:p w:rsidR="00C84FED" w:rsidRDefault="00C84FED" w:rsidP="00C84FED">
      <w:pPr>
        <w:spacing w:after="0"/>
        <w:jc w:val="both"/>
      </w:pPr>
      <w:r>
        <w:t>1. Главная причина введения новой экономической политики – преодоление экономического и политического кризиса, вызванного послевоенной разрухой. С помощью нэпа, большевики рассчитывали выйти из кризиса, восстановить экономику и в дальнейшем отказаться от этой политики.</w:t>
      </w:r>
    </w:p>
    <w:p w:rsidR="00C84FED" w:rsidRDefault="00C84FED" w:rsidP="00C84FED">
      <w:pPr>
        <w:spacing w:after="0"/>
        <w:jc w:val="both"/>
      </w:pPr>
      <w:r>
        <w:t xml:space="preserve">2.  Декрет появился в 1921 г., когда начала осуществляться новая экономическая политика.  Исторические условия появления декрета связаны с окончанием Гражданской войны, когда продолжалась политика «военного коммунизма». Крестьяне в условиях перехода от войны к мирному строительству </w:t>
      </w:r>
      <w:proofErr w:type="gramStart"/>
      <w:r>
        <w:t>высказывали все большее неудовольствие</w:t>
      </w:r>
      <w:proofErr w:type="gramEnd"/>
      <w:r>
        <w:t xml:space="preserve"> продразверсткой. Они не понимали, почему теперь, когда война закончилась, нужно отдавать почти все свои продукты на нужды Красной Армии.</w:t>
      </w:r>
    </w:p>
    <w:p w:rsidR="00C84FED" w:rsidRDefault="00C84FED" w:rsidP="00C84FED">
      <w:pPr>
        <w:spacing w:after="0"/>
        <w:jc w:val="both"/>
      </w:pPr>
      <w:r>
        <w:t xml:space="preserve">3.Главным мероприятием, проведенным согласно с этим декретом, было введение продналога, который объявлялся заранее, перед посевной. </w:t>
      </w:r>
      <w:proofErr w:type="gramStart"/>
      <w:r>
        <w:t>Его 3. был меньше продразверстки (п. 1.</w:t>
      </w:r>
      <w:proofErr w:type="gramEnd"/>
      <w:r>
        <w:t xml:space="preserve"> </w:t>
      </w:r>
      <w:proofErr w:type="gramStart"/>
      <w:r>
        <w:t>«Разверстка как средство государственных заготовок питания, сырья и фуража заменяется натуральным налогом»; п. 2 «Этот налог должен быть меньше за обложение, которое проводилось до этого времени путем разверстки…»).</w:t>
      </w:r>
      <w:proofErr w:type="gramEnd"/>
      <w:r>
        <w:t xml:space="preserve"> Еще одним мероприятием стала свобода торговли, невозможная ранее в условиях войны. У крестьянина после выплаты продналога оставались излишки продуктов, которые он мог продать на рынке, получив за это деньги (п.5 «Все запасы продовольствия… которые остаются у земледельцев после выполнения ими налога, находятся в полном их распоряжении и могут быть использованы ими для улучшения собственного потребления и для обмена…»).</w:t>
      </w: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spacing w:after="0"/>
        <w:jc w:val="both"/>
      </w:pPr>
      <w:r>
        <w:t xml:space="preserve">4.Политика «военного коммунизма», которая имела временный характер и проводилась на неоккупированной территории Беларуси, предусматривала непопулярные среди крестьянства меры (такие как продразверстка). Эта политика была основана на максимальной централизации руководства промышленного производства и распределением, на использование административно-командных методов руководства. В отличие от политики «военного коммунизма», которая вызывала недовольство жителей белорусской деревни и антисоветские выступления, новая экономическая политика была рассчитана на использование товарно-денежных отношений. </w:t>
      </w:r>
    </w:p>
    <w:p w:rsidR="00C84FED" w:rsidRDefault="00C84FED" w:rsidP="00C84FED">
      <w:pPr>
        <w:spacing w:after="0"/>
        <w:jc w:val="both"/>
      </w:pPr>
      <w:r>
        <w:t>НЭП, как более эффективное средство в сравнение с «военным коммунизмом», позволил в краткий термин восстановить разрушенное войной хозяйство, учитывая экономический потенциал товарно-денежных отношений и материальную заинтересованность трудящихся в итогах своего труда. Нэп также содействовал укреплению союза между крестьянством и рабочим классом, которые были связаны между собой товарно-денежными отношениями. Крестьяне обеспечивали своей сельскохозяйственной продукцией рабочих в городах, а те, в свою очередь, вырабатывали необходимую для деревни технику.</w:t>
      </w:r>
    </w:p>
    <w:p w:rsidR="00C84FED" w:rsidRDefault="00C84FED" w:rsidP="00C84FED">
      <w:pPr>
        <w:spacing w:after="0"/>
        <w:jc w:val="both"/>
      </w:pPr>
    </w:p>
    <w:p w:rsidR="007031D7" w:rsidRPr="007031D7" w:rsidRDefault="007031D7" w:rsidP="007031D7">
      <w:pPr>
        <w:jc w:val="both"/>
        <w:rPr>
          <w:rFonts w:cs="Times New Roman"/>
          <w:szCs w:val="28"/>
        </w:rPr>
      </w:pPr>
      <w:bookmarkStart w:id="0" w:name="_GoBack"/>
      <w:r w:rsidRPr="007031D7">
        <w:rPr>
          <w:rFonts w:cs="Times New Roman"/>
          <w:color w:val="000000"/>
          <w:sz w:val="24"/>
        </w:rPr>
        <w:t>Задание составил</w:t>
      </w:r>
      <w:r w:rsidRPr="007031D7">
        <w:rPr>
          <w:color w:val="000000"/>
          <w:sz w:val="24"/>
        </w:rPr>
        <w:t>а</w:t>
      </w:r>
      <w:r w:rsidRPr="007031D7">
        <w:rPr>
          <w:rFonts w:cs="Times New Roman"/>
          <w:color w:val="000000"/>
          <w:sz w:val="24"/>
          <w:szCs w:val="28"/>
        </w:rPr>
        <w:t xml:space="preserve"> учитель </w:t>
      </w:r>
      <w:r>
        <w:rPr>
          <w:color w:val="000000"/>
          <w:sz w:val="24"/>
        </w:rPr>
        <w:t>Марзан</w:t>
      </w:r>
      <w:r w:rsidRPr="007031D7">
        <w:rPr>
          <w:rFonts w:cs="Times New Roman"/>
          <w:color w:val="000000"/>
          <w:sz w:val="24"/>
          <w:szCs w:val="28"/>
        </w:rPr>
        <w:t xml:space="preserve"> </w:t>
      </w:r>
      <w:r>
        <w:rPr>
          <w:color w:val="000000"/>
          <w:sz w:val="24"/>
        </w:rPr>
        <w:t>Е</w:t>
      </w:r>
      <w:r w:rsidRPr="007031D7">
        <w:rPr>
          <w:rFonts w:cs="Times New Roman"/>
          <w:color w:val="000000"/>
          <w:sz w:val="24"/>
          <w:szCs w:val="28"/>
        </w:rPr>
        <w:t>.</w:t>
      </w:r>
      <w:r>
        <w:rPr>
          <w:color w:val="000000"/>
          <w:sz w:val="24"/>
        </w:rPr>
        <w:t>М</w:t>
      </w:r>
      <w:r w:rsidRPr="007031D7">
        <w:rPr>
          <w:rFonts w:cs="Times New Roman"/>
          <w:color w:val="000000"/>
          <w:sz w:val="24"/>
          <w:szCs w:val="28"/>
        </w:rPr>
        <w:t>., ГУО «</w:t>
      </w:r>
      <w:proofErr w:type="spellStart"/>
      <w:r>
        <w:rPr>
          <w:color w:val="000000"/>
          <w:sz w:val="24"/>
        </w:rPr>
        <w:t>Мотольская</w:t>
      </w:r>
      <w:proofErr w:type="spellEnd"/>
      <w:r>
        <w:rPr>
          <w:color w:val="000000"/>
          <w:sz w:val="24"/>
        </w:rPr>
        <w:t xml:space="preserve"> средняя школа №2</w:t>
      </w:r>
      <w:r w:rsidRPr="007031D7">
        <w:rPr>
          <w:rFonts w:cs="Times New Roman"/>
          <w:color w:val="000000"/>
          <w:sz w:val="24"/>
          <w:szCs w:val="28"/>
        </w:rPr>
        <w:t>»</w:t>
      </w:r>
      <w:r>
        <w:rPr>
          <w:rFonts w:cs="Times New Roman"/>
          <w:color w:val="000000"/>
          <w:sz w:val="24"/>
          <w:szCs w:val="28"/>
        </w:rPr>
        <w:t xml:space="preserve"> Ивановского района</w:t>
      </w:r>
    </w:p>
    <w:bookmarkEnd w:id="0"/>
    <w:p w:rsidR="00C84FED" w:rsidRDefault="00C84FED" w:rsidP="007031D7">
      <w:pPr>
        <w:pStyle w:val="a3"/>
        <w:spacing w:after="0"/>
        <w:ind w:left="0"/>
        <w:jc w:val="both"/>
      </w:pPr>
    </w:p>
    <w:p w:rsidR="00C84FED" w:rsidRDefault="00C84FED" w:rsidP="00C84FED">
      <w:pPr>
        <w:pStyle w:val="a3"/>
        <w:spacing w:after="0"/>
        <w:jc w:val="both"/>
      </w:pPr>
    </w:p>
    <w:p w:rsidR="00C84FED" w:rsidRDefault="00C84FED" w:rsidP="00C84FED">
      <w:pPr>
        <w:spacing w:after="0"/>
        <w:jc w:val="both"/>
      </w:pPr>
    </w:p>
    <w:p w:rsidR="00C84FED" w:rsidRDefault="00C84FED" w:rsidP="00C84FED">
      <w:pPr>
        <w:pStyle w:val="a3"/>
      </w:pPr>
    </w:p>
    <w:p w:rsidR="00C84FED" w:rsidRDefault="00C84FED" w:rsidP="00C84FED">
      <w:pPr>
        <w:pStyle w:val="a3"/>
        <w:spacing w:after="0"/>
        <w:ind w:left="1080"/>
        <w:jc w:val="both"/>
      </w:pPr>
    </w:p>
    <w:p w:rsidR="000C6F01" w:rsidRDefault="000C6F01"/>
    <w:sectPr w:rsidR="000C6F01" w:rsidSect="00C84FED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1EF"/>
    <w:multiLevelType w:val="hybridMultilevel"/>
    <w:tmpl w:val="66763D80"/>
    <w:lvl w:ilvl="0" w:tplc="A514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119F7"/>
    <w:multiLevelType w:val="hybridMultilevel"/>
    <w:tmpl w:val="A78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5DEE"/>
    <w:multiLevelType w:val="hybridMultilevel"/>
    <w:tmpl w:val="1E761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86B7E"/>
    <w:multiLevelType w:val="hybridMultilevel"/>
    <w:tmpl w:val="AE822918"/>
    <w:lvl w:ilvl="0" w:tplc="B494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2777A"/>
    <w:multiLevelType w:val="hybridMultilevel"/>
    <w:tmpl w:val="6FEC4A0A"/>
    <w:lvl w:ilvl="0" w:tplc="F9BA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ED"/>
    <w:rsid w:val="000C6F01"/>
    <w:rsid w:val="007031D7"/>
    <w:rsid w:val="00C8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ED"/>
    <w:pPr>
      <w:ind w:left="720"/>
      <w:contextualSpacing/>
    </w:pPr>
  </w:style>
  <w:style w:type="table" w:styleId="a4">
    <w:name w:val="Table Grid"/>
    <w:basedOn w:val="a1"/>
    <w:uiPriority w:val="39"/>
    <w:rsid w:val="00C8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ED"/>
    <w:pPr>
      <w:ind w:left="720"/>
      <w:contextualSpacing/>
    </w:pPr>
  </w:style>
  <w:style w:type="table" w:styleId="a4">
    <w:name w:val="Table Grid"/>
    <w:basedOn w:val="a1"/>
    <w:uiPriority w:val="39"/>
    <w:rsid w:val="00C8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2023-01-08T16:48:00Z</dcterms:created>
  <dcterms:modified xsi:type="dcterms:W3CDTF">2023-01-31T13:09:00Z</dcterms:modified>
</cp:coreProperties>
</file>